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DF3" w:rsidRPr="00096DF3" w:rsidRDefault="00096DF3" w:rsidP="005413EE">
      <w:pPr>
        <w:widowControl/>
        <w:shd w:val="clear" w:color="auto" w:fill="FFFFFF"/>
        <w:spacing w:before="100" w:beforeAutospacing="1" w:after="100" w:afterAutospacing="1"/>
        <w:jc w:val="left"/>
        <w:outlineLvl w:val="1"/>
        <w:rPr>
          <w:rFonts w:ascii="微软雅黑" w:eastAsia="微软雅黑" w:hAnsi="微软雅黑" w:cs="宋体"/>
          <w:b/>
          <w:bCs/>
          <w:color w:val="000000"/>
          <w:kern w:val="36"/>
          <w:sz w:val="30"/>
          <w:szCs w:val="30"/>
        </w:rPr>
      </w:pPr>
      <w:r w:rsidRPr="00096DF3">
        <w:rPr>
          <w:rFonts w:ascii="微软雅黑" w:eastAsia="微软雅黑" w:hAnsi="微软雅黑" w:cs="宋体" w:hint="eastAsia"/>
          <w:b/>
          <w:bCs/>
          <w:color w:val="000000"/>
          <w:kern w:val="36"/>
          <w:sz w:val="30"/>
          <w:szCs w:val="30"/>
        </w:rPr>
        <w:t>CBOT新交割体系</w:t>
      </w:r>
    </w:p>
    <w:p w:rsidR="00096DF3" w:rsidRPr="00096DF3" w:rsidRDefault="00096DF3" w:rsidP="005413EE">
      <w:pPr>
        <w:widowControl/>
        <w:shd w:val="clear" w:color="auto" w:fill="FFFFFF"/>
        <w:spacing w:before="100" w:beforeAutospacing="1" w:after="100" w:afterAutospacing="1" w:line="360" w:lineRule="atLeast"/>
        <w:jc w:val="left"/>
        <w:outlineLvl w:val="2"/>
        <w:rPr>
          <w:rFonts w:ascii="宋体" w:eastAsia="宋体" w:hAnsi="宋体" w:cs="宋体"/>
          <w:color w:val="000000"/>
          <w:kern w:val="0"/>
          <w:sz w:val="18"/>
          <w:szCs w:val="18"/>
        </w:rPr>
      </w:pPr>
      <w:r w:rsidRPr="00096DF3">
        <w:rPr>
          <w:rFonts w:ascii="宋体" w:eastAsia="宋体" w:hAnsi="宋体" w:cs="宋体"/>
          <w:color w:val="000000"/>
          <w:kern w:val="0"/>
          <w:sz w:val="18"/>
          <w:szCs w:val="18"/>
        </w:rPr>
        <w:t xml:space="preserve">1999-12-01 11:21:39 作者：王学勤 来源：期货日报 浏览次数：40 </w:t>
      </w:r>
      <w:hyperlink r:id="rId7" w:history="1">
        <w:r w:rsidRPr="00096DF3">
          <w:rPr>
            <w:rFonts w:ascii="宋体" w:eastAsia="宋体" w:hAnsi="宋体" w:cs="宋体"/>
            <w:color w:val="FF0000"/>
            <w:kern w:val="0"/>
            <w:sz w:val="18"/>
          </w:rPr>
          <w:t>网友评论 0 条</w:t>
        </w:r>
      </w:hyperlink>
      <w:r w:rsidRPr="00096DF3">
        <w:rPr>
          <w:rFonts w:ascii="宋体" w:eastAsia="宋体" w:hAnsi="宋体" w:cs="宋体"/>
          <w:color w:val="000000"/>
          <w:kern w:val="0"/>
          <w:sz w:val="18"/>
          <w:szCs w:val="18"/>
        </w:rPr>
        <w:t xml:space="preserve"> </w:t>
      </w:r>
    </w:p>
    <w:p w:rsidR="00096DF3" w:rsidRPr="00096DF3" w:rsidRDefault="00096DF3" w:rsidP="005413EE">
      <w:pPr>
        <w:widowControl/>
        <w:shd w:val="clear" w:color="auto" w:fill="FFFFFF"/>
        <w:wordWrap w:val="0"/>
        <w:spacing w:before="150" w:after="100" w:afterAutospacing="1" w:line="432" w:lineRule="auto"/>
        <w:ind w:firstLine="480"/>
        <w:jc w:val="left"/>
        <w:rPr>
          <w:rFonts w:ascii="宋体" w:eastAsia="宋体" w:hAnsi="宋体" w:cs="宋体"/>
          <w:color w:val="000000"/>
          <w:kern w:val="0"/>
          <w:szCs w:val="21"/>
        </w:rPr>
      </w:pPr>
      <w:r w:rsidRPr="00096DF3">
        <w:rPr>
          <w:rFonts w:ascii="宋体" w:eastAsia="宋体" w:hAnsi="宋体" w:cs="宋体"/>
          <w:b/>
          <w:bCs/>
          <w:color w:val="FF0000"/>
          <w:kern w:val="0"/>
        </w:rPr>
        <w:t>CBOT新交割体系</w:t>
      </w:r>
    </w:p>
    <w:p w:rsidR="00096DF3" w:rsidRPr="00096DF3" w:rsidRDefault="00096DF3" w:rsidP="005413EE">
      <w:pPr>
        <w:widowControl/>
        <w:shd w:val="clear" w:color="auto" w:fill="FFFFFF"/>
        <w:wordWrap w:val="0"/>
        <w:spacing w:before="150" w:after="100" w:afterAutospacing="1" w:line="432" w:lineRule="auto"/>
        <w:ind w:firstLine="480"/>
        <w:jc w:val="left"/>
        <w:rPr>
          <w:rFonts w:ascii="宋体" w:eastAsia="宋体" w:hAnsi="宋体" w:cs="宋体"/>
          <w:color w:val="000000"/>
          <w:kern w:val="0"/>
          <w:szCs w:val="21"/>
        </w:rPr>
      </w:pPr>
      <w:r w:rsidRPr="00096DF3">
        <w:rPr>
          <w:rFonts w:ascii="宋体" w:eastAsia="宋体" w:hAnsi="宋体" w:cs="宋体"/>
          <w:color w:val="000000"/>
          <w:kern w:val="0"/>
          <w:szCs w:val="21"/>
        </w:rPr>
        <w:t>1999-12-01</w:t>
      </w:r>
    </w:p>
    <w:p w:rsidR="00096DF3" w:rsidRPr="00096DF3" w:rsidRDefault="00096DF3" w:rsidP="005413EE">
      <w:pPr>
        <w:widowControl/>
        <w:shd w:val="clear" w:color="auto" w:fill="FFFFFF"/>
        <w:wordWrap w:val="0"/>
        <w:spacing w:before="150" w:after="100" w:afterAutospacing="1" w:line="432" w:lineRule="auto"/>
        <w:ind w:firstLine="480"/>
        <w:jc w:val="left"/>
        <w:rPr>
          <w:rFonts w:ascii="宋体" w:eastAsia="宋体" w:hAnsi="宋体" w:cs="宋体"/>
          <w:color w:val="000000"/>
          <w:kern w:val="0"/>
          <w:szCs w:val="21"/>
        </w:rPr>
      </w:pPr>
      <w:r w:rsidRPr="00096DF3">
        <w:rPr>
          <w:rFonts w:ascii="宋体" w:eastAsia="宋体" w:hAnsi="宋体" w:cs="宋体"/>
          <w:color w:val="000000"/>
          <w:kern w:val="0"/>
          <w:szCs w:val="21"/>
        </w:rPr>
        <w:t>    近年来，芝加哥终端交割仓库的交割容量从5400万蒲式耳减少到1500万蒲式耳。主要原因是最近两年，现货市场流通情况发生重大变化、政府储藏项目取消和农场仓储能力增加导致芝加哥作为终端交割仓库的作用下降；另一个原因是铁路运输业的集中管理放松，许多谷物直接从产区的乡村仓库运抵其它消费地的加工领域；第三是由于芝加哥的仓库有的转卖、有的退出，使定点交割仓库的容量大大减少。针对此，美国商品期货交易委员会(CFTC)要求交易所保持和增加交割仓库的容量。1996年，CFTC专门发文通知芝加哥交易所（CBOT）调整玉米和大豆的交割条款。本文对新的CBOT交割体系作一介绍。</w:t>
      </w:r>
      <w:r w:rsidRPr="00096DF3">
        <w:rPr>
          <w:rFonts w:ascii="宋体" w:eastAsia="宋体" w:hAnsi="宋体" w:cs="宋体"/>
          <w:color w:val="000000"/>
          <w:kern w:val="0"/>
          <w:szCs w:val="21"/>
        </w:rPr>
        <w:br/>
      </w:r>
      <w:r w:rsidRPr="00096DF3">
        <w:rPr>
          <w:rFonts w:ascii="宋体" w:eastAsia="宋体" w:hAnsi="宋体" w:cs="宋体"/>
          <w:color w:val="000000"/>
          <w:kern w:val="0"/>
          <w:szCs w:val="21"/>
        </w:rPr>
        <w:br/>
        <w:t xml:space="preserve">    </w:t>
      </w:r>
      <w:r w:rsidRPr="00096DF3">
        <w:rPr>
          <w:rFonts w:ascii="宋体" w:eastAsia="宋体" w:hAnsi="宋体" w:cs="宋体"/>
          <w:b/>
          <w:bCs/>
          <w:color w:val="FF0000"/>
          <w:kern w:val="0"/>
        </w:rPr>
        <w:t>一、新交割体系概况</w:t>
      </w:r>
      <w:r w:rsidRPr="00096DF3">
        <w:rPr>
          <w:rFonts w:ascii="宋体" w:eastAsia="宋体" w:hAnsi="宋体" w:cs="宋体"/>
          <w:b/>
          <w:bCs/>
          <w:color w:val="FF0000"/>
          <w:kern w:val="0"/>
          <w:szCs w:val="21"/>
        </w:rPr>
        <w:br/>
      </w:r>
      <w:r w:rsidRPr="00096DF3">
        <w:rPr>
          <w:rFonts w:ascii="宋体" w:eastAsia="宋体" w:hAnsi="宋体" w:cs="宋体"/>
          <w:color w:val="000000"/>
          <w:kern w:val="0"/>
          <w:szCs w:val="21"/>
        </w:rPr>
        <w:br/>
        <w:t xml:space="preserve">    </w:t>
      </w:r>
      <w:r w:rsidRPr="00096DF3">
        <w:rPr>
          <w:rFonts w:ascii="宋体" w:eastAsia="宋体" w:hAnsi="宋体" w:cs="宋体"/>
          <w:color w:val="0000FF"/>
          <w:kern w:val="0"/>
          <w:szCs w:val="21"/>
        </w:rPr>
        <w:t>（一）新交割体系的运作</w:t>
      </w:r>
      <w:r w:rsidRPr="00096DF3">
        <w:rPr>
          <w:rFonts w:ascii="宋体" w:eastAsia="宋体" w:hAnsi="宋体" w:cs="宋体"/>
          <w:color w:val="0000FF"/>
          <w:kern w:val="0"/>
          <w:szCs w:val="21"/>
        </w:rPr>
        <w:br/>
      </w:r>
      <w:r w:rsidRPr="00096DF3">
        <w:rPr>
          <w:rFonts w:ascii="宋体" w:eastAsia="宋体" w:hAnsi="宋体" w:cs="宋体"/>
          <w:color w:val="000000"/>
          <w:kern w:val="0"/>
          <w:szCs w:val="21"/>
        </w:rPr>
        <w:br/>
        <w:t>    芝加哥交易所玉米旧合约于2000年到期，以后将采取从芝加哥向南</w:t>
      </w:r>
      <w:proofErr w:type="gramStart"/>
      <w:r w:rsidRPr="00096DF3">
        <w:rPr>
          <w:rFonts w:ascii="宋体" w:eastAsia="宋体" w:hAnsi="宋体" w:cs="宋体"/>
          <w:color w:val="000000"/>
          <w:kern w:val="0"/>
          <w:szCs w:val="21"/>
        </w:rPr>
        <w:t>到皮肯204英里</w:t>
      </w:r>
      <w:proofErr w:type="gramEnd"/>
      <w:r w:rsidRPr="00096DF3">
        <w:rPr>
          <w:rFonts w:ascii="宋体" w:eastAsia="宋体" w:hAnsi="宋体" w:cs="宋体"/>
          <w:color w:val="000000"/>
          <w:kern w:val="0"/>
          <w:szCs w:val="21"/>
        </w:rPr>
        <w:t>的沿依利诺斯河进行交割。大豆旧合约于2000年到期，以后将采取从芝加哥向南到圣路易斯403英里的密西西比河进行交割。调整交割地点的基本目的在于，使交割体系充分发挥作用，提高期现价格的收敛性，使期货价格能够成为代表现货价格的重要部分，更能准确地反映现货价格，使交割系统具有连续性、集中性和透明性。在新的合约中，包括了地区价差、货轮装卸规定和装卸日程。</w:t>
      </w:r>
      <w:r w:rsidRPr="00096DF3">
        <w:rPr>
          <w:rFonts w:ascii="宋体" w:eastAsia="宋体" w:hAnsi="宋体" w:cs="宋体"/>
          <w:color w:val="000000"/>
          <w:kern w:val="0"/>
          <w:szCs w:val="21"/>
        </w:rPr>
        <w:br/>
      </w:r>
      <w:r w:rsidRPr="00096DF3">
        <w:rPr>
          <w:rFonts w:ascii="宋体" w:eastAsia="宋体" w:hAnsi="宋体" w:cs="宋体"/>
          <w:color w:val="000000"/>
          <w:kern w:val="0"/>
          <w:szCs w:val="21"/>
        </w:rPr>
        <w:br/>
      </w:r>
      <w:r w:rsidRPr="00096DF3">
        <w:rPr>
          <w:rFonts w:ascii="宋体" w:eastAsia="宋体" w:hAnsi="宋体" w:cs="宋体"/>
          <w:color w:val="000000"/>
          <w:kern w:val="0"/>
          <w:szCs w:val="21"/>
        </w:rPr>
        <w:lastRenderedPageBreak/>
        <w:t>   </w:t>
      </w:r>
      <w:r w:rsidRPr="00096DF3">
        <w:rPr>
          <w:rFonts w:ascii="宋体" w:eastAsia="宋体" w:hAnsi="宋体" w:cs="宋体"/>
          <w:color w:val="0000FF"/>
          <w:kern w:val="0"/>
          <w:szCs w:val="21"/>
        </w:rPr>
        <w:t>（二）新交割体系的特点</w:t>
      </w:r>
      <w:r w:rsidRPr="00096DF3">
        <w:rPr>
          <w:rFonts w:ascii="宋体" w:eastAsia="宋体" w:hAnsi="宋体" w:cs="宋体"/>
          <w:color w:val="0000FF"/>
          <w:kern w:val="0"/>
          <w:szCs w:val="21"/>
        </w:rPr>
        <w:br/>
      </w:r>
      <w:r w:rsidRPr="00096DF3">
        <w:rPr>
          <w:rFonts w:ascii="宋体" w:eastAsia="宋体" w:hAnsi="宋体" w:cs="宋体"/>
          <w:color w:val="000000"/>
          <w:kern w:val="0"/>
          <w:szCs w:val="21"/>
        </w:rPr>
        <w:br/>
        <w:t>    1.期货市场的存在是为了保证使现货、期货价格在交割月份收敛，并不是为商业企业提供货源的。后者是现货市场的目的。</w:t>
      </w:r>
      <w:r w:rsidRPr="00096DF3">
        <w:rPr>
          <w:rFonts w:ascii="宋体" w:eastAsia="宋体" w:hAnsi="宋体" w:cs="宋体"/>
          <w:color w:val="000000"/>
          <w:kern w:val="0"/>
          <w:szCs w:val="21"/>
        </w:rPr>
        <w:br/>
      </w:r>
      <w:r w:rsidRPr="00096DF3">
        <w:rPr>
          <w:rFonts w:ascii="宋体" w:eastAsia="宋体" w:hAnsi="宋体" w:cs="宋体"/>
          <w:color w:val="000000"/>
          <w:kern w:val="0"/>
          <w:szCs w:val="21"/>
        </w:rPr>
        <w:br/>
        <w:t>    2.新体系并不改变现货市场价格。相反，使全美更多的生产商、加工商、饲养商、出口商和其他市场参与者获得更稳定的现货和期货价格。</w:t>
      </w:r>
      <w:r w:rsidRPr="00096DF3">
        <w:rPr>
          <w:rFonts w:ascii="宋体" w:eastAsia="宋体" w:hAnsi="宋体" w:cs="宋体"/>
          <w:color w:val="000000"/>
          <w:kern w:val="0"/>
          <w:szCs w:val="21"/>
        </w:rPr>
        <w:br/>
      </w:r>
      <w:r w:rsidRPr="00096DF3">
        <w:rPr>
          <w:rFonts w:ascii="宋体" w:eastAsia="宋体" w:hAnsi="宋体" w:cs="宋体"/>
          <w:color w:val="000000"/>
          <w:kern w:val="0"/>
          <w:szCs w:val="21"/>
        </w:rPr>
        <w:br/>
        <w:t>    3.沿依利诺斯河的新交割体系形成相当大的交割能力。玉米最大交割能力在1.52亿蒲式耳，大豆为2.18亿蒲式耳。同时，所采用的运单交割机制更适合谷物流通的实际情况，减少人为操纵市场和违约的可能性。</w:t>
      </w:r>
      <w:r w:rsidRPr="00096DF3">
        <w:rPr>
          <w:rFonts w:ascii="宋体" w:eastAsia="宋体" w:hAnsi="宋体" w:cs="宋体"/>
          <w:color w:val="000000"/>
          <w:kern w:val="0"/>
          <w:szCs w:val="21"/>
        </w:rPr>
        <w:br/>
      </w:r>
      <w:r w:rsidRPr="00096DF3">
        <w:rPr>
          <w:rFonts w:ascii="宋体" w:eastAsia="宋体" w:hAnsi="宋体" w:cs="宋体"/>
          <w:color w:val="000000"/>
          <w:kern w:val="0"/>
          <w:szCs w:val="21"/>
        </w:rPr>
        <w:br/>
        <w:t>    4.新交割体系能够更好地分散货源所有权。因为目前谷物行业正在进行所有权集中。新交割体系的运输设施的所有权的集中性比旧体系交割仓库的所有权的集中性减少10％。</w:t>
      </w:r>
      <w:r w:rsidRPr="00096DF3">
        <w:rPr>
          <w:rFonts w:ascii="宋体" w:eastAsia="宋体" w:hAnsi="宋体" w:cs="宋体"/>
          <w:color w:val="000000"/>
          <w:kern w:val="0"/>
          <w:szCs w:val="21"/>
        </w:rPr>
        <w:br/>
      </w:r>
      <w:r w:rsidRPr="00096DF3">
        <w:rPr>
          <w:rFonts w:ascii="宋体" w:eastAsia="宋体" w:hAnsi="宋体" w:cs="宋体"/>
          <w:color w:val="000000"/>
          <w:kern w:val="0"/>
          <w:szCs w:val="21"/>
        </w:rPr>
        <w:br/>
        <w:t>    5.沿依利诺斯河设置交割地点在历史上也是可行的。根据美国权威数据，在沿河流域航运几乎不受气候影响。而大湖区域一年大约有四个月正式的关闭。新交割体系还把交割区域延长到印地安那的本斯哈波，不仅提供铁路或货轮运输，而且向国际、国内市场用户提供竞争机会。</w:t>
      </w:r>
    </w:p>
    <w:p w:rsidR="00096DF3" w:rsidRPr="00096DF3" w:rsidRDefault="00096DF3" w:rsidP="005413EE">
      <w:pPr>
        <w:widowControl/>
        <w:shd w:val="clear" w:color="auto" w:fill="FFFFFF"/>
        <w:wordWrap w:val="0"/>
        <w:spacing w:before="150" w:after="100" w:afterAutospacing="1" w:line="432" w:lineRule="auto"/>
        <w:ind w:firstLine="480"/>
        <w:jc w:val="left"/>
        <w:rPr>
          <w:rFonts w:ascii="宋体" w:eastAsia="宋体" w:hAnsi="宋体" w:cs="宋体"/>
          <w:color w:val="000000"/>
          <w:kern w:val="0"/>
          <w:szCs w:val="21"/>
        </w:rPr>
      </w:pPr>
      <w:r w:rsidRPr="00096DF3">
        <w:rPr>
          <w:rFonts w:ascii="宋体" w:eastAsia="宋体" w:hAnsi="宋体" w:cs="宋体"/>
          <w:color w:val="000000"/>
          <w:kern w:val="0"/>
          <w:szCs w:val="21"/>
        </w:rPr>
        <w:t>    6.形成公平、有效的交割结构。</w:t>
      </w:r>
    </w:p>
    <w:p w:rsidR="00096DF3" w:rsidRPr="00096DF3" w:rsidRDefault="00096DF3" w:rsidP="005413EE">
      <w:pPr>
        <w:widowControl/>
        <w:shd w:val="clear" w:color="auto" w:fill="FFFFFF"/>
        <w:wordWrap w:val="0"/>
        <w:spacing w:before="150" w:after="100" w:afterAutospacing="1" w:line="432" w:lineRule="auto"/>
        <w:ind w:firstLine="480"/>
        <w:jc w:val="left"/>
        <w:rPr>
          <w:rFonts w:ascii="宋体" w:eastAsia="宋体" w:hAnsi="宋体" w:cs="宋体"/>
          <w:color w:val="000000"/>
          <w:kern w:val="0"/>
          <w:szCs w:val="21"/>
        </w:rPr>
      </w:pPr>
      <w:r w:rsidRPr="00096DF3">
        <w:rPr>
          <w:rFonts w:ascii="宋体" w:eastAsia="宋体" w:hAnsi="宋体" w:cs="宋体"/>
          <w:color w:val="000000"/>
          <w:kern w:val="0"/>
          <w:szCs w:val="21"/>
        </w:rPr>
        <w:t xml:space="preserve">    </w:t>
      </w:r>
      <w:r w:rsidRPr="00096DF3">
        <w:rPr>
          <w:rFonts w:ascii="宋体" w:eastAsia="宋体" w:hAnsi="宋体" w:cs="宋体"/>
          <w:b/>
          <w:bCs/>
          <w:color w:val="FF0000"/>
          <w:kern w:val="0"/>
        </w:rPr>
        <w:t>二、新交割体系的管理和运行</w:t>
      </w:r>
      <w:r w:rsidRPr="00096DF3">
        <w:rPr>
          <w:rFonts w:ascii="宋体" w:eastAsia="宋体" w:hAnsi="宋体" w:cs="宋体"/>
          <w:b/>
          <w:bCs/>
          <w:color w:val="FF0000"/>
          <w:kern w:val="0"/>
          <w:szCs w:val="21"/>
        </w:rPr>
        <w:br/>
      </w:r>
      <w:r w:rsidRPr="00096DF3">
        <w:rPr>
          <w:rFonts w:ascii="宋体" w:eastAsia="宋体" w:hAnsi="宋体" w:cs="宋体"/>
          <w:color w:val="000000"/>
          <w:kern w:val="0"/>
          <w:szCs w:val="21"/>
        </w:rPr>
        <w:br/>
        <w:t xml:space="preserve">    </w:t>
      </w:r>
      <w:r w:rsidRPr="00096DF3">
        <w:rPr>
          <w:rFonts w:ascii="宋体" w:eastAsia="宋体" w:hAnsi="宋体" w:cs="宋体"/>
          <w:color w:val="0000FF"/>
          <w:kern w:val="0"/>
          <w:szCs w:val="21"/>
        </w:rPr>
        <w:t>（一）新交割体系的管理</w:t>
      </w:r>
      <w:r w:rsidRPr="00096DF3">
        <w:rPr>
          <w:rFonts w:ascii="宋体" w:eastAsia="宋体" w:hAnsi="宋体" w:cs="宋体"/>
          <w:color w:val="0000FF"/>
          <w:kern w:val="0"/>
          <w:szCs w:val="21"/>
        </w:rPr>
        <w:br/>
      </w:r>
      <w:r w:rsidRPr="00096DF3">
        <w:rPr>
          <w:rFonts w:ascii="宋体" w:eastAsia="宋体" w:hAnsi="宋体" w:cs="宋体"/>
          <w:color w:val="000000"/>
          <w:kern w:val="0"/>
          <w:szCs w:val="21"/>
        </w:rPr>
        <w:br/>
      </w:r>
      <w:r w:rsidRPr="00096DF3">
        <w:rPr>
          <w:rFonts w:ascii="宋体" w:eastAsia="宋体" w:hAnsi="宋体" w:cs="宋体"/>
          <w:color w:val="000000"/>
          <w:kern w:val="0"/>
          <w:szCs w:val="21"/>
        </w:rPr>
        <w:lastRenderedPageBreak/>
        <w:t>    新交割体系的最大变革是，沿河的仓库在粮食没有运到仓房的情况下就可以签发运单。例如，仓储商可能已经给农场主签订了远期合约，粮食也可能正在运输途中，这时，仓库就可以签发运单。这样做就可以使粮食处于流通之中。但是，根据规定，装运站点也不能不受任何限制地注册仓单。每个谷物公司的仓库签发的运单按照其日最大装卸能力，由交易所按计算公式核定。</w:t>
      </w:r>
      <w:r w:rsidRPr="00096DF3">
        <w:rPr>
          <w:rFonts w:ascii="宋体" w:eastAsia="宋体" w:hAnsi="宋体" w:cs="宋体"/>
          <w:color w:val="000000"/>
          <w:kern w:val="0"/>
          <w:szCs w:val="21"/>
        </w:rPr>
        <w:br/>
      </w:r>
      <w:r w:rsidRPr="00096DF3">
        <w:rPr>
          <w:rFonts w:ascii="宋体" w:eastAsia="宋体" w:hAnsi="宋体" w:cs="宋体"/>
          <w:color w:val="000000"/>
          <w:kern w:val="0"/>
          <w:szCs w:val="21"/>
        </w:rPr>
        <w:br/>
        <w:t>    依利诺斯州共设置27个交割地点，涉及8个商业谷物公司。芝加哥交易所仓单注册办公室目前正在审批沿河仓库，许多仓库都报来了申请材料，它们要有一定的运输装卸能力，但是，不像过去的定点交割仓库那样，沿河仓库不一定是联邦仓库，可以是州辖仓库或商业仓库。在谈到如何保证沿河仓库的支付能力的时候，管理人员说，这些仓库在交易所都存有信用担保，如果出现问题，交易所立刻以该仓库的信用担保履约。加之在依利诺斯河和密西西比河两岸有许多仓库，绝对保证不会发生仓库操纵市场或影响价格的事件。</w:t>
      </w:r>
      <w:r w:rsidRPr="00096DF3">
        <w:rPr>
          <w:rFonts w:ascii="宋体" w:eastAsia="宋体" w:hAnsi="宋体" w:cs="宋体"/>
          <w:color w:val="000000"/>
          <w:kern w:val="0"/>
          <w:szCs w:val="21"/>
        </w:rPr>
        <w:br/>
      </w:r>
      <w:r w:rsidRPr="00096DF3">
        <w:rPr>
          <w:rFonts w:ascii="宋体" w:eastAsia="宋体" w:hAnsi="宋体" w:cs="宋体"/>
          <w:color w:val="000000"/>
          <w:kern w:val="0"/>
          <w:szCs w:val="21"/>
        </w:rPr>
        <w:br/>
        <w:t xml:space="preserve">    </w:t>
      </w:r>
      <w:r w:rsidRPr="00096DF3">
        <w:rPr>
          <w:rFonts w:ascii="宋体" w:eastAsia="宋体" w:hAnsi="宋体" w:cs="宋体"/>
          <w:color w:val="0000FF"/>
          <w:kern w:val="0"/>
          <w:szCs w:val="21"/>
        </w:rPr>
        <w:t>（二）新交割体系的运行</w:t>
      </w:r>
      <w:r w:rsidRPr="00096DF3">
        <w:rPr>
          <w:rFonts w:ascii="宋体" w:eastAsia="宋体" w:hAnsi="宋体" w:cs="宋体"/>
          <w:color w:val="0000FF"/>
          <w:kern w:val="0"/>
          <w:szCs w:val="21"/>
        </w:rPr>
        <w:br/>
      </w:r>
      <w:r w:rsidRPr="00096DF3">
        <w:rPr>
          <w:rFonts w:ascii="宋体" w:eastAsia="宋体" w:hAnsi="宋体" w:cs="宋体"/>
          <w:color w:val="000000"/>
          <w:kern w:val="0"/>
          <w:szCs w:val="21"/>
        </w:rPr>
        <w:br/>
        <w:t>    1.交割计算</w:t>
      </w:r>
      <w:r w:rsidRPr="00096DF3">
        <w:rPr>
          <w:rFonts w:ascii="宋体" w:eastAsia="宋体" w:hAnsi="宋体" w:cs="宋体"/>
          <w:color w:val="000000"/>
          <w:kern w:val="0"/>
          <w:szCs w:val="21"/>
        </w:rPr>
        <w:br/>
      </w:r>
      <w:r w:rsidRPr="00096DF3">
        <w:rPr>
          <w:rFonts w:ascii="宋体" w:eastAsia="宋体" w:hAnsi="宋体" w:cs="宋体"/>
          <w:color w:val="000000"/>
          <w:kern w:val="0"/>
          <w:szCs w:val="21"/>
        </w:rPr>
        <w:br/>
        <w:t>    在决定是否进行期货交割过程中，计算玉米和大豆的交割价值是重要的步骤。尽管只有很少量的谷物期货头寸（大约1％）最终实现实物交割，以下的计算将使市场参与者可以对现货价格和期货价格进行比较。</w:t>
      </w:r>
      <w:r w:rsidRPr="00096DF3">
        <w:rPr>
          <w:rFonts w:ascii="宋体" w:eastAsia="宋体" w:hAnsi="宋体" w:cs="宋体"/>
          <w:color w:val="000000"/>
          <w:kern w:val="0"/>
          <w:szCs w:val="21"/>
        </w:rPr>
        <w:br/>
      </w:r>
      <w:r w:rsidRPr="00096DF3">
        <w:rPr>
          <w:rFonts w:ascii="宋体" w:eastAsia="宋体" w:hAnsi="宋体" w:cs="宋体"/>
          <w:color w:val="000000"/>
          <w:kern w:val="0"/>
          <w:szCs w:val="21"/>
        </w:rPr>
        <w:br/>
        <w:t>    在依利诺斯沿河交割制度下，地区价差和装载费用被加入期货价格。市场参与者可以用这一价格与交割地点的现货价格（装载地点）进行比较。现货价格很容易计算，即，从新奥尔良的现货价格中减去驳船运费。通过这种计算，市场参与者可以比较现货价格和期货价格，</w:t>
      </w:r>
      <w:proofErr w:type="gramStart"/>
      <w:r w:rsidRPr="00096DF3">
        <w:rPr>
          <w:rFonts w:ascii="宋体" w:eastAsia="宋体" w:hAnsi="宋体" w:cs="宋体"/>
          <w:color w:val="000000"/>
          <w:kern w:val="0"/>
          <w:szCs w:val="21"/>
        </w:rPr>
        <w:t>作出</w:t>
      </w:r>
      <w:proofErr w:type="gramEnd"/>
      <w:r w:rsidRPr="00096DF3">
        <w:rPr>
          <w:rFonts w:ascii="宋体" w:eastAsia="宋体" w:hAnsi="宋体" w:cs="宋体"/>
          <w:color w:val="000000"/>
          <w:kern w:val="0"/>
          <w:szCs w:val="21"/>
        </w:rPr>
        <w:t>是否交割的决定。</w:t>
      </w:r>
      <w:r w:rsidRPr="00096DF3">
        <w:rPr>
          <w:rFonts w:ascii="宋体" w:eastAsia="宋体" w:hAnsi="宋体" w:cs="宋体"/>
          <w:color w:val="000000"/>
          <w:kern w:val="0"/>
          <w:szCs w:val="21"/>
        </w:rPr>
        <w:br/>
      </w:r>
      <w:r w:rsidRPr="00096DF3">
        <w:rPr>
          <w:rFonts w:ascii="宋体" w:eastAsia="宋体" w:hAnsi="宋体" w:cs="宋体"/>
          <w:color w:val="000000"/>
          <w:kern w:val="0"/>
          <w:szCs w:val="21"/>
        </w:rPr>
        <w:lastRenderedPageBreak/>
        <w:br/>
        <w:t>    例：8月10日，芝加哥交易所8月大豆期货收盘价格为5.75美元/蒲式耳。作为市场参与者，如果想与新奥尔良大豆到岸价(CIF)现货价格6.32美元/蒲式耳比较的话，计算如下。</w:t>
      </w:r>
      <w:r w:rsidRPr="00096DF3">
        <w:rPr>
          <w:rFonts w:ascii="宋体" w:eastAsia="宋体" w:hAnsi="宋体" w:cs="宋体"/>
          <w:color w:val="000000"/>
          <w:kern w:val="0"/>
          <w:szCs w:val="21"/>
        </w:rPr>
        <w:br/>
      </w:r>
      <w:r w:rsidRPr="00096DF3">
        <w:rPr>
          <w:rFonts w:ascii="宋体" w:eastAsia="宋体" w:hAnsi="宋体" w:cs="宋体"/>
          <w:color w:val="000000"/>
          <w:kern w:val="0"/>
          <w:szCs w:val="21"/>
        </w:rPr>
        <w:br/>
        <w:t>    1将8月期货价格确定到需要交割的地点：</w:t>
      </w:r>
      <w:r w:rsidRPr="00096DF3">
        <w:rPr>
          <w:rFonts w:ascii="宋体" w:eastAsia="宋体" w:hAnsi="宋体" w:cs="宋体"/>
          <w:color w:val="000000"/>
          <w:kern w:val="0"/>
          <w:szCs w:val="21"/>
        </w:rPr>
        <w:br/>
      </w:r>
      <w:r w:rsidRPr="00096DF3">
        <w:rPr>
          <w:rFonts w:ascii="宋体" w:eastAsia="宋体" w:hAnsi="宋体" w:cs="宋体"/>
          <w:color w:val="000000"/>
          <w:kern w:val="0"/>
          <w:szCs w:val="21"/>
        </w:rPr>
        <w:br/>
        <w:t>    8月大豆期货价格 5.75美元/蒲式耳</w:t>
      </w:r>
      <w:r w:rsidRPr="00096DF3">
        <w:rPr>
          <w:rFonts w:ascii="宋体" w:eastAsia="宋体" w:hAnsi="宋体" w:cs="宋体"/>
          <w:color w:val="000000"/>
          <w:kern w:val="0"/>
          <w:szCs w:val="21"/>
        </w:rPr>
        <w:br/>
        <w:t>    ＋地区价差 ＋0.03美元/蒲式耳</w:t>
      </w:r>
      <w:r w:rsidRPr="00096DF3">
        <w:rPr>
          <w:rFonts w:ascii="宋体" w:eastAsia="宋体" w:hAnsi="宋体" w:cs="宋体"/>
          <w:color w:val="000000"/>
          <w:kern w:val="0"/>
          <w:szCs w:val="21"/>
        </w:rPr>
        <w:br/>
        <w:t>     (皮奥里亚地区差，见表）</w:t>
      </w:r>
      <w:r w:rsidRPr="00096DF3">
        <w:rPr>
          <w:rFonts w:ascii="宋体" w:eastAsia="宋体" w:hAnsi="宋体" w:cs="宋体"/>
          <w:color w:val="000000"/>
          <w:kern w:val="0"/>
          <w:szCs w:val="21"/>
        </w:rPr>
        <w:br/>
        <w:t>    ＋离岸价(FOB) ＋0.04美元/蒲式耳</w:t>
      </w:r>
      <w:r w:rsidRPr="00096DF3">
        <w:rPr>
          <w:rFonts w:ascii="宋体" w:eastAsia="宋体" w:hAnsi="宋体" w:cs="宋体"/>
          <w:color w:val="000000"/>
          <w:kern w:val="0"/>
          <w:szCs w:val="21"/>
        </w:rPr>
        <w:br/>
        <w:t xml:space="preserve">     期货合约规定费用 </w:t>
      </w:r>
      <w:r w:rsidRPr="00096DF3">
        <w:rPr>
          <w:rFonts w:ascii="宋体" w:eastAsia="宋体" w:hAnsi="宋体" w:cs="宋体"/>
          <w:color w:val="000000"/>
          <w:kern w:val="0"/>
          <w:szCs w:val="21"/>
        </w:rPr>
        <w:br/>
        <w:t>    装运站点离岸价(FOB) 皮奥里亚装运站点离岸价</w:t>
      </w:r>
      <w:r w:rsidRPr="00096DF3">
        <w:rPr>
          <w:rFonts w:ascii="宋体" w:eastAsia="宋体" w:hAnsi="宋体" w:cs="宋体"/>
          <w:color w:val="000000"/>
          <w:kern w:val="0"/>
          <w:szCs w:val="21"/>
        </w:rPr>
        <w:br/>
        <w:t>     (FOB)为5.82美元/蒲式耳</w:t>
      </w:r>
      <w:r w:rsidRPr="00096DF3">
        <w:rPr>
          <w:rFonts w:ascii="宋体" w:eastAsia="宋体" w:hAnsi="宋体" w:cs="宋体"/>
          <w:color w:val="000000"/>
          <w:kern w:val="0"/>
          <w:szCs w:val="21"/>
        </w:rPr>
        <w:br/>
        <w:t>    2将新奥尔良现货价格算回离岸价(FOB)皮奥里亚</w:t>
      </w:r>
      <w:proofErr w:type="gramStart"/>
      <w:r w:rsidRPr="00096DF3">
        <w:rPr>
          <w:rFonts w:ascii="宋体" w:eastAsia="宋体" w:hAnsi="宋体" w:cs="宋体"/>
          <w:color w:val="000000"/>
          <w:kern w:val="0"/>
          <w:szCs w:val="21"/>
        </w:rPr>
        <w:t>装运站</w:t>
      </w:r>
      <w:proofErr w:type="gramEnd"/>
      <w:r w:rsidRPr="00096DF3">
        <w:rPr>
          <w:rFonts w:ascii="宋体" w:eastAsia="宋体" w:hAnsi="宋体" w:cs="宋体"/>
          <w:color w:val="000000"/>
          <w:kern w:val="0"/>
          <w:szCs w:val="21"/>
        </w:rPr>
        <w:t>的价值：</w:t>
      </w:r>
      <w:r w:rsidRPr="00096DF3">
        <w:rPr>
          <w:rFonts w:ascii="宋体" w:eastAsia="宋体" w:hAnsi="宋体" w:cs="宋体"/>
          <w:color w:val="000000"/>
          <w:kern w:val="0"/>
          <w:szCs w:val="21"/>
        </w:rPr>
        <w:br/>
        <w:t>    新奥尔良现货价格 6.32美元/蒲式耳</w:t>
      </w:r>
      <w:r w:rsidRPr="00096DF3">
        <w:rPr>
          <w:rFonts w:ascii="宋体" w:eastAsia="宋体" w:hAnsi="宋体" w:cs="宋体"/>
          <w:color w:val="000000"/>
          <w:kern w:val="0"/>
          <w:szCs w:val="21"/>
        </w:rPr>
        <w:br/>
        <w:t>    －从装运站点到 －0.26美元/蒲式耳</w:t>
      </w:r>
      <w:r w:rsidRPr="00096DF3">
        <w:rPr>
          <w:rFonts w:ascii="宋体" w:eastAsia="宋体" w:hAnsi="宋体" w:cs="宋体"/>
          <w:color w:val="000000"/>
          <w:kern w:val="0"/>
          <w:szCs w:val="21"/>
        </w:rPr>
        <w:br/>
        <w:t>    皮奥里亚的驳船运费 (180％的运距关税×</w:t>
      </w:r>
      <w:r w:rsidRPr="00096DF3">
        <w:rPr>
          <w:rFonts w:ascii="宋体" w:eastAsia="宋体" w:hAnsi="宋体" w:cs="宋体"/>
          <w:color w:val="000000"/>
          <w:kern w:val="0"/>
          <w:szCs w:val="21"/>
        </w:rPr>
        <w:br/>
        <w:t>     481美分/吨×0.03转换系数)</w:t>
      </w:r>
      <w:r w:rsidRPr="00096DF3">
        <w:rPr>
          <w:rFonts w:ascii="宋体" w:eastAsia="宋体" w:hAnsi="宋体" w:cs="宋体"/>
          <w:color w:val="000000"/>
          <w:kern w:val="0"/>
          <w:szCs w:val="21"/>
        </w:rPr>
        <w:br/>
        <w:t>    装运站点离岸价(FOB) 皮奥里亚装运站点离岸</w:t>
      </w:r>
      <w:r w:rsidRPr="00096DF3">
        <w:rPr>
          <w:rFonts w:ascii="宋体" w:eastAsia="宋体" w:hAnsi="宋体" w:cs="宋体"/>
          <w:color w:val="000000"/>
          <w:kern w:val="0"/>
          <w:szCs w:val="21"/>
        </w:rPr>
        <w:br/>
        <w:t>     价(FOB)为6.06美元/蒲式耳</w:t>
      </w:r>
      <w:r w:rsidRPr="00096DF3">
        <w:rPr>
          <w:rFonts w:ascii="宋体" w:eastAsia="宋体" w:hAnsi="宋体" w:cs="宋体"/>
          <w:color w:val="000000"/>
          <w:kern w:val="0"/>
          <w:szCs w:val="21"/>
        </w:rPr>
        <w:br/>
      </w:r>
      <w:r w:rsidRPr="00096DF3">
        <w:rPr>
          <w:rFonts w:ascii="宋体" w:eastAsia="宋体" w:hAnsi="宋体" w:cs="宋体"/>
          <w:color w:val="000000"/>
          <w:kern w:val="0"/>
          <w:szCs w:val="21"/>
        </w:rPr>
        <w:br/>
        <w:t>    2.交割程序</w:t>
      </w:r>
      <w:r w:rsidRPr="00096DF3">
        <w:rPr>
          <w:rFonts w:ascii="宋体" w:eastAsia="宋体" w:hAnsi="宋体" w:cs="宋体"/>
          <w:color w:val="000000"/>
          <w:kern w:val="0"/>
          <w:szCs w:val="21"/>
        </w:rPr>
        <w:br/>
      </w:r>
      <w:r w:rsidRPr="00096DF3">
        <w:rPr>
          <w:rFonts w:ascii="宋体" w:eastAsia="宋体" w:hAnsi="宋体" w:cs="宋体"/>
          <w:color w:val="000000"/>
          <w:kern w:val="0"/>
          <w:szCs w:val="21"/>
        </w:rPr>
        <w:br/>
        <w:t>    如果一个公司对其持有的期货头寸进行交割，以下是把期货头寸换成运单所发生的程序。</w:t>
      </w:r>
      <w:r w:rsidRPr="00096DF3">
        <w:rPr>
          <w:rFonts w:ascii="宋体" w:eastAsia="宋体" w:hAnsi="宋体" w:cs="宋体"/>
          <w:color w:val="000000"/>
          <w:kern w:val="0"/>
          <w:szCs w:val="21"/>
        </w:rPr>
        <w:lastRenderedPageBreak/>
        <w:t>交割过程三天完成。这一循环过程在交割月份的每一交割日连续重复进行，直到最后交割日为止。</w:t>
      </w:r>
      <w:r w:rsidRPr="00096DF3">
        <w:rPr>
          <w:rFonts w:ascii="宋体" w:eastAsia="宋体" w:hAnsi="宋体" w:cs="宋体"/>
          <w:color w:val="000000"/>
          <w:kern w:val="0"/>
          <w:szCs w:val="21"/>
        </w:rPr>
        <w:br/>
      </w:r>
      <w:r w:rsidRPr="00096DF3">
        <w:rPr>
          <w:rFonts w:ascii="宋体" w:eastAsia="宋体" w:hAnsi="宋体" w:cs="宋体"/>
          <w:color w:val="000000"/>
          <w:kern w:val="0"/>
          <w:szCs w:val="21"/>
        </w:rPr>
        <w:br/>
        <w:t>    第一天为提交日或持盘日：空头持有者在下午4点前向交易所结算公司提出交割申请。交易所根据多头持仓时间长短安排配对交割。</w:t>
      </w:r>
      <w:r w:rsidRPr="00096DF3">
        <w:rPr>
          <w:rFonts w:ascii="宋体" w:eastAsia="宋体" w:hAnsi="宋体" w:cs="宋体"/>
          <w:color w:val="000000"/>
          <w:kern w:val="0"/>
          <w:szCs w:val="21"/>
        </w:rPr>
        <w:br/>
      </w:r>
      <w:r w:rsidRPr="00096DF3">
        <w:rPr>
          <w:rFonts w:ascii="宋体" w:eastAsia="宋体" w:hAnsi="宋体" w:cs="宋体"/>
          <w:color w:val="000000"/>
          <w:kern w:val="0"/>
          <w:szCs w:val="21"/>
        </w:rPr>
        <w:br/>
        <w:t>    第二天为通知日：由结算公司在上午7点之前通知持仓时间最长的多头，由其确定交割，空头在下午4点前通知多头。</w:t>
      </w:r>
      <w:r w:rsidRPr="00096DF3">
        <w:rPr>
          <w:rFonts w:ascii="宋体" w:eastAsia="宋体" w:hAnsi="宋体" w:cs="宋体"/>
          <w:color w:val="000000"/>
          <w:kern w:val="0"/>
          <w:szCs w:val="21"/>
        </w:rPr>
        <w:br/>
      </w:r>
      <w:r w:rsidRPr="00096DF3">
        <w:rPr>
          <w:rFonts w:ascii="宋体" w:eastAsia="宋体" w:hAnsi="宋体" w:cs="宋体"/>
          <w:color w:val="000000"/>
          <w:kern w:val="0"/>
          <w:szCs w:val="21"/>
        </w:rPr>
        <w:br/>
        <w:t>    第三天为交割日：空头向多头交割运单，多头在下午1点前付款。如果银行休假的话，在下一个银行营业日9：30付款。第一交割日为交割月份的第一营业日。</w:t>
      </w:r>
      <w:r w:rsidRPr="00096DF3">
        <w:rPr>
          <w:rFonts w:ascii="宋体" w:eastAsia="宋体" w:hAnsi="宋体" w:cs="宋体"/>
          <w:color w:val="000000"/>
          <w:kern w:val="0"/>
          <w:szCs w:val="21"/>
        </w:rPr>
        <w:br/>
      </w:r>
      <w:r w:rsidRPr="00096DF3">
        <w:rPr>
          <w:rFonts w:ascii="宋体" w:eastAsia="宋体" w:hAnsi="宋体" w:cs="宋体"/>
          <w:color w:val="000000"/>
          <w:kern w:val="0"/>
          <w:szCs w:val="21"/>
        </w:rPr>
        <w:br/>
        <w:t>    运单由芝加哥交易所批准的发运单位签发。如果一个公司要求通过期货交割过程获得运单的话，该公司可作以下选择。</w:t>
      </w:r>
      <w:r w:rsidRPr="00096DF3">
        <w:rPr>
          <w:rFonts w:ascii="宋体" w:eastAsia="宋体" w:hAnsi="宋体" w:cs="宋体"/>
          <w:color w:val="000000"/>
          <w:kern w:val="0"/>
          <w:szCs w:val="21"/>
        </w:rPr>
        <w:br/>
      </w:r>
      <w:r w:rsidRPr="00096DF3">
        <w:rPr>
          <w:rFonts w:ascii="宋体" w:eastAsia="宋体" w:hAnsi="宋体" w:cs="宋体"/>
          <w:color w:val="000000"/>
          <w:kern w:val="0"/>
          <w:szCs w:val="21"/>
        </w:rPr>
        <w:br/>
        <w:t>    1.持有运单。在这种情况下，运单所有者向运单签发人支付升水费用。对于2000年及其以后到期的玉米和大豆合约，在依利诺斯河和圣路易斯河流域签发的运单的升水费用为0.0010美元/蒲式耳/天；芝加哥和本斯哈波的运单为0.0012美元/蒲式耳/天。</w:t>
      </w:r>
      <w:r w:rsidRPr="00096DF3">
        <w:rPr>
          <w:rFonts w:ascii="宋体" w:eastAsia="宋体" w:hAnsi="宋体" w:cs="宋体"/>
          <w:color w:val="000000"/>
          <w:kern w:val="0"/>
          <w:szCs w:val="21"/>
        </w:rPr>
        <w:br/>
      </w:r>
      <w:r w:rsidRPr="00096DF3">
        <w:rPr>
          <w:rFonts w:ascii="宋体" w:eastAsia="宋体" w:hAnsi="宋体" w:cs="宋体"/>
          <w:color w:val="000000"/>
          <w:kern w:val="0"/>
          <w:szCs w:val="21"/>
        </w:rPr>
        <w:br/>
        <w:t>    2.以协商价格把运单卖给他人。</w:t>
      </w:r>
      <w:r w:rsidRPr="00096DF3">
        <w:rPr>
          <w:rFonts w:ascii="宋体" w:eastAsia="宋体" w:hAnsi="宋体" w:cs="宋体"/>
          <w:color w:val="000000"/>
          <w:kern w:val="0"/>
          <w:szCs w:val="21"/>
        </w:rPr>
        <w:br/>
      </w:r>
      <w:r w:rsidRPr="00096DF3">
        <w:rPr>
          <w:rFonts w:ascii="宋体" w:eastAsia="宋体" w:hAnsi="宋体" w:cs="宋体"/>
          <w:color w:val="000000"/>
          <w:kern w:val="0"/>
          <w:szCs w:val="21"/>
        </w:rPr>
        <w:br/>
        <w:t>    3.采取卖出运单的办法将</w:t>
      </w:r>
      <w:proofErr w:type="gramStart"/>
      <w:r w:rsidRPr="00096DF3">
        <w:rPr>
          <w:rFonts w:ascii="宋体" w:eastAsia="宋体" w:hAnsi="宋体" w:cs="宋体"/>
          <w:color w:val="000000"/>
          <w:kern w:val="0"/>
          <w:szCs w:val="21"/>
        </w:rPr>
        <w:t>运单再</w:t>
      </w:r>
      <w:proofErr w:type="gramEnd"/>
      <w:r w:rsidRPr="00096DF3">
        <w:rPr>
          <w:rFonts w:ascii="宋体" w:eastAsia="宋体" w:hAnsi="宋体" w:cs="宋体"/>
          <w:color w:val="000000"/>
          <w:kern w:val="0"/>
          <w:szCs w:val="21"/>
        </w:rPr>
        <w:t>交割，即，把运单交给新的所有者。</w:t>
      </w:r>
    </w:p>
    <w:p w:rsidR="00096DF3" w:rsidRPr="00096DF3" w:rsidRDefault="00096DF3" w:rsidP="005413EE">
      <w:pPr>
        <w:widowControl/>
        <w:shd w:val="clear" w:color="auto" w:fill="FFFFFF"/>
        <w:wordWrap w:val="0"/>
        <w:spacing w:before="150" w:after="100" w:afterAutospacing="1" w:line="432" w:lineRule="auto"/>
        <w:ind w:firstLine="480"/>
        <w:jc w:val="left"/>
        <w:rPr>
          <w:rFonts w:ascii="宋体" w:eastAsia="宋体" w:hAnsi="宋体" w:cs="宋体"/>
          <w:color w:val="000000"/>
          <w:kern w:val="0"/>
          <w:szCs w:val="21"/>
        </w:rPr>
      </w:pPr>
      <w:r w:rsidRPr="00096DF3">
        <w:rPr>
          <w:rFonts w:ascii="宋体" w:eastAsia="宋体" w:hAnsi="宋体" w:cs="宋体"/>
          <w:color w:val="000000"/>
          <w:kern w:val="0"/>
          <w:szCs w:val="21"/>
        </w:rPr>
        <w:t>    4.要求接货。</w:t>
      </w:r>
      <w:r w:rsidRPr="00096DF3">
        <w:rPr>
          <w:rFonts w:ascii="宋体" w:eastAsia="宋体" w:hAnsi="宋体" w:cs="宋体"/>
          <w:color w:val="000000"/>
          <w:kern w:val="0"/>
          <w:szCs w:val="21"/>
        </w:rPr>
        <w:br/>
      </w:r>
      <w:r w:rsidRPr="00096DF3">
        <w:rPr>
          <w:rFonts w:ascii="宋体" w:eastAsia="宋体" w:hAnsi="宋体" w:cs="宋体"/>
          <w:color w:val="000000"/>
          <w:kern w:val="0"/>
          <w:szCs w:val="21"/>
        </w:rPr>
        <w:br/>
      </w:r>
      <w:r w:rsidRPr="00096DF3">
        <w:rPr>
          <w:rFonts w:ascii="宋体" w:eastAsia="宋体" w:hAnsi="宋体" w:cs="宋体"/>
          <w:color w:val="000000"/>
          <w:kern w:val="0"/>
          <w:szCs w:val="21"/>
        </w:rPr>
        <w:lastRenderedPageBreak/>
        <w:t xml:space="preserve">    </w:t>
      </w:r>
      <w:r w:rsidRPr="00096DF3">
        <w:rPr>
          <w:rFonts w:ascii="宋体" w:eastAsia="宋体" w:hAnsi="宋体" w:cs="宋体"/>
          <w:b/>
          <w:bCs/>
          <w:color w:val="FF0000"/>
          <w:kern w:val="0"/>
        </w:rPr>
        <w:t>三、新交割体系答疑</w:t>
      </w:r>
      <w:r w:rsidRPr="00096DF3">
        <w:rPr>
          <w:rFonts w:ascii="宋体" w:eastAsia="宋体" w:hAnsi="宋体" w:cs="宋体"/>
          <w:b/>
          <w:bCs/>
          <w:color w:val="FF0000"/>
          <w:kern w:val="0"/>
          <w:szCs w:val="21"/>
        </w:rPr>
        <w:br/>
      </w:r>
      <w:r w:rsidRPr="00096DF3">
        <w:rPr>
          <w:rFonts w:ascii="宋体" w:eastAsia="宋体" w:hAnsi="宋体" w:cs="宋体"/>
          <w:color w:val="000000"/>
          <w:kern w:val="0"/>
          <w:szCs w:val="21"/>
        </w:rPr>
        <w:br/>
        <w:t xml:space="preserve">    </w:t>
      </w:r>
      <w:r w:rsidRPr="00096DF3">
        <w:rPr>
          <w:rFonts w:ascii="宋体" w:eastAsia="宋体" w:hAnsi="宋体" w:cs="宋体"/>
          <w:color w:val="0000FF"/>
          <w:kern w:val="0"/>
          <w:szCs w:val="21"/>
        </w:rPr>
        <w:t>（一）实行新交割体系是否会改变合约套期保值的有效性？</w:t>
      </w:r>
      <w:r w:rsidRPr="00096DF3">
        <w:rPr>
          <w:rFonts w:ascii="宋体" w:eastAsia="宋体" w:hAnsi="宋体" w:cs="宋体"/>
          <w:color w:val="0000FF"/>
          <w:kern w:val="0"/>
          <w:szCs w:val="21"/>
        </w:rPr>
        <w:br/>
      </w:r>
      <w:r w:rsidRPr="00096DF3">
        <w:rPr>
          <w:rFonts w:ascii="宋体" w:eastAsia="宋体" w:hAnsi="宋体" w:cs="宋体"/>
          <w:color w:val="000000"/>
          <w:kern w:val="0"/>
          <w:szCs w:val="21"/>
        </w:rPr>
        <w:br/>
        <w:t>    美国中部和西部的国内用户有希望得到更加有效的套期保值，而美国东部的市场参与者套期保值的有效性可能有所下降。因为交割体系的这种改变主要是期望转向适应美国中部的生产和消费地区。在芝加哥发展的早期阶段，芝加哥的仓库代表了现货交易的极为重要的一部分。正如期望的那样，芝加哥成为确定谷物价格的基点，因为芝加哥位于临近的产区，是谷物的集散地。但无论从现在还是对未来的预测看，芝加哥的仓库在实际现货交易中发挥的作用越来越小，这主要是由于谷物贸易的发展以及重要的谷物需求中心分布在世界各地。沿依利诺斯河运单交割新体系代表了现货贸易的重要部分。新交割体系位于产区的中心，仍然以芝加哥为基点。简言之，依利诺斯沿河交割体系恰恰反映了市场参与者期望的那种具有透明度、流动性以及基本的价格发现功能的有效的和活跃的市场。</w:t>
      </w:r>
      <w:r w:rsidRPr="00096DF3">
        <w:rPr>
          <w:rFonts w:ascii="宋体" w:eastAsia="宋体" w:hAnsi="宋体" w:cs="宋体"/>
          <w:color w:val="000000"/>
          <w:kern w:val="0"/>
          <w:szCs w:val="21"/>
        </w:rPr>
        <w:br/>
      </w:r>
      <w:r w:rsidRPr="00096DF3">
        <w:rPr>
          <w:rFonts w:ascii="宋体" w:eastAsia="宋体" w:hAnsi="宋体" w:cs="宋体"/>
          <w:color w:val="000000"/>
          <w:kern w:val="0"/>
          <w:szCs w:val="21"/>
        </w:rPr>
        <w:br/>
        <w:t xml:space="preserve">    </w:t>
      </w:r>
      <w:r w:rsidRPr="00096DF3">
        <w:rPr>
          <w:rFonts w:ascii="宋体" w:eastAsia="宋体" w:hAnsi="宋体" w:cs="宋体"/>
          <w:color w:val="0000FF"/>
          <w:kern w:val="0"/>
          <w:szCs w:val="21"/>
        </w:rPr>
        <w:t>（二）新交割体系何时生效？</w:t>
      </w:r>
    </w:p>
    <w:p w:rsidR="00096DF3" w:rsidRPr="00096DF3" w:rsidRDefault="00096DF3" w:rsidP="005413EE">
      <w:pPr>
        <w:widowControl/>
        <w:shd w:val="clear" w:color="auto" w:fill="FFFFFF"/>
        <w:wordWrap w:val="0"/>
        <w:spacing w:before="150" w:after="100" w:afterAutospacing="1" w:line="432" w:lineRule="auto"/>
        <w:ind w:firstLine="480"/>
        <w:jc w:val="left"/>
        <w:rPr>
          <w:rFonts w:ascii="宋体" w:eastAsia="宋体" w:hAnsi="宋体" w:cs="宋体"/>
          <w:color w:val="000000"/>
          <w:kern w:val="0"/>
          <w:szCs w:val="21"/>
        </w:rPr>
      </w:pPr>
      <w:r w:rsidRPr="00096DF3">
        <w:rPr>
          <w:rFonts w:ascii="宋体" w:eastAsia="宋体" w:hAnsi="宋体" w:cs="宋体"/>
          <w:color w:val="000000"/>
          <w:kern w:val="0"/>
          <w:szCs w:val="21"/>
        </w:rPr>
        <w:t>    新上市的2000年合约将实行新的交割系统。使用新的交割系统的第一个合约是2000年1月份合约和2000年3月合约。</w:t>
      </w:r>
      <w:r w:rsidRPr="00096DF3">
        <w:rPr>
          <w:rFonts w:ascii="宋体" w:eastAsia="宋体" w:hAnsi="宋体" w:cs="宋体"/>
          <w:color w:val="000000"/>
          <w:kern w:val="0"/>
          <w:szCs w:val="21"/>
        </w:rPr>
        <w:br/>
      </w:r>
      <w:r w:rsidRPr="00096DF3">
        <w:rPr>
          <w:rFonts w:ascii="宋体" w:eastAsia="宋体" w:hAnsi="宋体" w:cs="宋体"/>
          <w:color w:val="000000"/>
          <w:kern w:val="0"/>
          <w:szCs w:val="21"/>
        </w:rPr>
        <w:br/>
        <w:t xml:space="preserve">    </w:t>
      </w:r>
      <w:r w:rsidRPr="00096DF3">
        <w:rPr>
          <w:rFonts w:ascii="宋体" w:eastAsia="宋体" w:hAnsi="宋体" w:cs="宋体"/>
          <w:color w:val="0000FF"/>
          <w:kern w:val="0"/>
          <w:szCs w:val="21"/>
        </w:rPr>
        <w:t>（三）为什么提出的新交割体系采用运单而不用仓单？</w:t>
      </w:r>
      <w:r w:rsidRPr="00096DF3">
        <w:rPr>
          <w:rFonts w:ascii="宋体" w:eastAsia="宋体" w:hAnsi="宋体" w:cs="宋体"/>
          <w:color w:val="0000FF"/>
          <w:kern w:val="0"/>
          <w:szCs w:val="21"/>
        </w:rPr>
        <w:br/>
      </w:r>
      <w:r w:rsidRPr="00096DF3">
        <w:rPr>
          <w:rFonts w:ascii="宋体" w:eastAsia="宋体" w:hAnsi="宋体" w:cs="宋体"/>
          <w:color w:val="000000"/>
          <w:kern w:val="0"/>
          <w:szCs w:val="21"/>
        </w:rPr>
        <w:br/>
        <w:t>    因为在依利诺斯河北部流域的仓库设施大部分是中转运输,仓容量并不大,</w:t>
      </w:r>
      <w:proofErr w:type="gramStart"/>
      <w:r w:rsidRPr="00096DF3">
        <w:rPr>
          <w:rFonts w:ascii="宋体" w:eastAsia="宋体" w:hAnsi="宋体" w:cs="宋体"/>
          <w:color w:val="000000"/>
          <w:kern w:val="0"/>
          <w:szCs w:val="21"/>
        </w:rPr>
        <w:t>运单比仓单更能</w:t>
      </w:r>
      <w:proofErr w:type="gramEnd"/>
      <w:r w:rsidRPr="00096DF3">
        <w:rPr>
          <w:rFonts w:ascii="宋体" w:eastAsia="宋体" w:hAnsi="宋体" w:cs="宋体"/>
          <w:color w:val="000000"/>
          <w:kern w:val="0"/>
          <w:szCs w:val="21"/>
        </w:rPr>
        <w:t>代表交割地区的现货市场状况。</w:t>
      </w:r>
      <w:r w:rsidRPr="00096DF3">
        <w:rPr>
          <w:rFonts w:ascii="宋体" w:eastAsia="宋体" w:hAnsi="宋体" w:cs="宋体"/>
          <w:color w:val="000000"/>
          <w:kern w:val="0"/>
          <w:szCs w:val="21"/>
        </w:rPr>
        <w:br/>
      </w:r>
      <w:r w:rsidRPr="00096DF3">
        <w:rPr>
          <w:rFonts w:ascii="宋体" w:eastAsia="宋体" w:hAnsi="宋体" w:cs="宋体"/>
          <w:color w:val="000000"/>
          <w:kern w:val="0"/>
          <w:szCs w:val="21"/>
        </w:rPr>
        <w:br/>
        <w:t xml:space="preserve">    </w:t>
      </w:r>
      <w:r w:rsidRPr="00096DF3">
        <w:rPr>
          <w:rFonts w:ascii="宋体" w:eastAsia="宋体" w:hAnsi="宋体" w:cs="宋体"/>
          <w:color w:val="0000FF"/>
          <w:kern w:val="0"/>
          <w:szCs w:val="21"/>
        </w:rPr>
        <w:t>（四）作为新交割体系的交割工具，运单是否会对交割双方及交易所产生更大的金融违</w:t>
      </w:r>
      <w:r w:rsidRPr="00096DF3">
        <w:rPr>
          <w:rFonts w:ascii="宋体" w:eastAsia="宋体" w:hAnsi="宋体" w:cs="宋体"/>
          <w:color w:val="0000FF"/>
          <w:kern w:val="0"/>
          <w:szCs w:val="21"/>
        </w:rPr>
        <w:lastRenderedPageBreak/>
        <w:t>约风险？</w:t>
      </w:r>
      <w:r w:rsidRPr="00096DF3">
        <w:rPr>
          <w:rFonts w:ascii="宋体" w:eastAsia="宋体" w:hAnsi="宋体" w:cs="宋体"/>
          <w:color w:val="0000FF"/>
          <w:kern w:val="0"/>
          <w:szCs w:val="21"/>
        </w:rPr>
        <w:br/>
      </w:r>
      <w:r w:rsidRPr="00096DF3">
        <w:rPr>
          <w:rFonts w:ascii="宋体" w:eastAsia="宋体" w:hAnsi="宋体" w:cs="宋体"/>
          <w:color w:val="000000"/>
          <w:kern w:val="0"/>
          <w:szCs w:val="21"/>
        </w:rPr>
        <w:br/>
        <w:t>    与目前的仓单交割体系相比，运单交割的金融违约风险将大大减小。因为运单签发者必须提供所签发运单市场价值的100％的信用证作为履约保证。</w:t>
      </w:r>
    </w:p>
    <w:p w:rsidR="00096DF3" w:rsidRPr="00096DF3" w:rsidRDefault="00096DF3" w:rsidP="005413EE">
      <w:pPr>
        <w:widowControl/>
        <w:shd w:val="clear" w:color="auto" w:fill="FFFFFF"/>
        <w:wordWrap w:val="0"/>
        <w:spacing w:before="150" w:after="100" w:afterAutospacing="1" w:line="432" w:lineRule="auto"/>
        <w:ind w:firstLine="480"/>
        <w:jc w:val="left"/>
        <w:rPr>
          <w:rFonts w:ascii="宋体" w:eastAsia="宋体" w:hAnsi="宋体" w:cs="宋体"/>
          <w:color w:val="000000"/>
          <w:kern w:val="0"/>
          <w:szCs w:val="21"/>
        </w:rPr>
      </w:pPr>
      <w:r w:rsidRPr="00096DF3">
        <w:rPr>
          <w:rFonts w:ascii="宋体" w:eastAsia="宋体" w:hAnsi="宋体" w:cs="宋体"/>
          <w:color w:val="000000"/>
          <w:kern w:val="0"/>
          <w:szCs w:val="21"/>
        </w:rPr>
        <w:t>    同时，新的交割体系限制签发运单数量，一个公司签发的运单不得超过该公司资产净值的25％。新体系还将可以签发运单的公司的资产净值调整为最低净资产500万美元，200万美元的运作资金规定维持不变。与现行的仓单交割体系中，指定交割仓库仅需交纳所签发仓单价值很小百分比的履约保证资金相比，新规定将减少金融违约风险。</w:t>
      </w:r>
      <w:r w:rsidRPr="00096DF3">
        <w:rPr>
          <w:rFonts w:ascii="宋体" w:eastAsia="宋体" w:hAnsi="宋体" w:cs="宋体"/>
          <w:color w:val="000000"/>
          <w:kern w:val="0"/>
          <w:szCs w:val="21"/>
        </w:rPr>
        <w:br/>
      </w:r>
      <w:r w:rsidRPr="00096DF3">
        <w:rPr>
          <w:rFonts w:ascii="宋体" w:eastAsia="宋体" w:hAnsi="宋体" w:cs="宋体"/>
          <w:color w:val="000000"/>
          <w:kern w:val="0"/>
          <w:szCs w:val="21"/>
        </w:rPr>
        <w:br/>
        <w:t xml:space="preserve">    </w:t>
      </w:r>
      <w:r w:rsidRPr="00096DF3">
        <w:rPr>
          <w:rFonts w:ascii="宋体" w:eastAsia="宋体" w:hAnsi="宋体" w:cs="宋体"/>
          <w:color w:val="0000FF"/>
          <w:kern w:val="0"/>
          <w:szCs w:val="21"/>
        </w:rPr>
        <w:t>（五）由于水灾、结冰或机制失效问题是否会对依利诺斯河北部流域谷物运输产生不利影响？</w:t>
      </w:r>
      <w:r w:rsidRPr="00096DF3">
        <w:rPr>
          <w:rFonts w:ascii="宋体" w:eastAsia="宋体" w:hAnsi="宋体" w:cs="宋体"/>
          <w:color w:val="0000FF"/>
          <w:kern w:val="0"/>
          <w:szCs w:val="21"/>
        </w:rPr>
        <w:br/>
      </w:r>
      <w:r w:rsidRPr="00096DF3">
        <w:rPr>
          <w:rFonts w:ascii="宋体" w:eastAsia="宋体" w:hAnsi="宋体" w:cs="宋体"/>
          <w:color w:val="000000"/>
          <w:kern w:val="0"/>
          <w:szCs w:val="21"/>
        </w:rPr>
        <w:br/>
        <w:t>    根据负责监管内陆河流系统安全和航运事务的美国河岸管理局的资料，依利诺斯河从未正式关闭过。相反，目前的系统以五大湖为基础，五大湖正式关闭时间每年大约4个月。美国河岸管理局证实，因依利诺斯河流上的航运堵塞而被暂时停运的情况在过去20年中只有3次。1995年个别码头临时关闭60天，1993年、1995年由于水灾暂停1—2周（关闭的是罗开港、左利特和马塞利斯，关闭时间是1995年7月11日至1995年9月8日）。</w:t>
      </w:r>
      <w:r w:rsidRPr="00096DF3">
        <w:rPr>
          <w:rFonts w:ascii="宋体" w:eastAsia="宋体" w:hAnsi="宋体" w:cs="宋体"/>
          <w:color w:val="000000"/>
          <w:kern w:val="0"/>
          <w:szCs w:val="21"/>
        </w:rPr>
        <w:br/>
      </w:r>
      <w:r w:rsidRPr="00096DF3">
        <w:rPr>
          <w:rFonts w:ascii="宋体" w:eastAsia="宋体" w:hAnsi="宋体" w:cs="宋体"/>
          <w:color w:val="000000"/>
          <w:kern w:val="0"/>
          <w:szCs w:val="21"/>
        </w:rPr>
        <w:br/>
        <w:t>    据负责依利诺斯河流码头、堤坝维护、修复和管理运作的美国陆军作物工程部报告，在1980年至1996年期间，依利诺斯河流域码头的平均关闭时间为6.75小时。</w:t>
      </w:r>
      <w:proofErr w:type="gramStart"/>
      <w:r w:rsidRPr="00096DF3">
        <w:rPr>
          <w:rFonts w:ascii="宋体" w:eastAsia="宋体" w:hAnsi="宋体" w:cs="宋体"/>
          <w:color w:val="000000"/>
          <w:kern w:val="0"/>
          <w:szCs w:val="21"/>
        </w:rPr>
        <w:t>鉴于没有</w:t>
      </w:r>
      <w:proofErr w:type="gramEnd"/>
      <w:r w:rsidRPr="00096DF3">
        <w:rPr>
          <w:rFonts w:ascii="宋体" w:eastAsia="宋体" w:hAnsi="宋体" w:cs="宋体"/>
          <w:color w:val="000000"/>
          <w:kern w:val="0"/>
          <w:szCs w:val="21"/>
        </w:rPr>
        <w:t>哪种运输系统可以完全避免因气候、机械问题或罢工而偶尔中断运输的情况，所以，可以证明依利诺斯河流域是一种可靠的运输通道，沿河谷物年运载能力在1万驳船以上。</w:t>
      </w:r>
      <w:r w:rsidRPr="00096DF3">
        <w:rPr>
          <w:rFonts w:ascii="宋体" w:eastAsia="宋体" w:hAnsi="宋体" w:cs="宋体"/>
          <w:color w:val="000000"/>
          <w:kern w:val="0"/>
          <w:szCs w:val="21"/>
        </w:rPr>
        <w:br/>
      </w:r>
      <w:r w:rsidRPr="00096DF3">
        <w:rPr>
          <w:rFonts w:ascii="宋体" w:eastAsia="宋体" w:hAnsi="宋体" w:cs="宋体"/>
          <w:color w:val="000000"/>
          <w:kern w:val="0"/>
          <w:szCs w:val="21"/>
        </w:rPr>
        <w:br/>
        <w:t xml:space="preserve">    </w:t>
      </w:r>
      <w:r w:rsidRPr="00096DF3">
        <w:rPr>
          <w:rFonts w:ascii="宋体" w:eastAsia="宋体" w:hAnsi="宋体" w:cs="宋体"/>
          <w:color w:val="0000FF"/>
          <w:kern w:val="0"/>
          <w:szCs w:val="21"/>
        </w:rPr>
        <w:t>（六）如果在沿河交割流域发生障碍以及河流交通堵塞怎么办？</w:t>
      </w:r>
    </w:p>
    <w:p w:rsidR="00096DF3" w:rsidRPr="00096DF3" w:rsidRDefault="00096DF3" w:rsidP="005413EE">
      <w:pPr>
        <w:widowControl/>
        <w:shd w:val="clear" w:color="auto" w:fill="FFFFFF"/>
        <w:wordWrap w:val="0"/>
        <w:spacing w:before="150" w:after="100" w:afterAutospacing="1" w:line="432" w:lineRule="auto"/>
        <w:ind w:firstLine="480"/>
        <w:jc w:val="left"/>
        <w:rPr>
          <w:rFonts w:ascii="宋体" w:eastAsia="宋体" w:hAnsi="宋体" w:cs="宋体"/>
          <w:color w:val="000000"/>
          <w:kern w:val="0"/>
          <w:szCs w:val="21"/>
        </w:rPr>
      </w:pPr>
      <w:r w:rsidRPr="00096DF3">
        <w:rPr>
          <w:rFonts w:ascii="宋体" w:eastAsia="宋体" w:hAnsi="宋体" w:cs="宋体"/>
          <w:color w:val="000000"/>
          <w:kern w:val="0"/>
          <w:szCs w:val="21"/>
        </w:rPr>
        <w:lastRenderedPageBreak/>
        <w:t>    如果发生上述情况，某些交割地点暂停使用15天以上，对大部分指定交割地点产生影响的话，那么，发生问题的码头以上的交割地点必须向发生问题的码头以下的交割地点的接受交割者提供包括至新奥尔良保险和运费在内的装载驳船。作为驳船运费的补偿，接受交割的</w:t>
      </w:r>
      <w:proofErr w:type="gramStart"/>
      <w:r w:rsidRPr="00096DF3">
        <w:rPr>
          <w:rFonts w:ascii="宋体" w:eastAsia="宋体" w:hAnsi="宋体" w:cs="宋体"/>
          <w:color w:val="000000"/>
          <w:kern w:val="0"/>
          <w:szCs w:val="21"/>
        </w:rPr>
        <w:t>一</w:t>
      </w:r>
      <w:proofErr w:type="gramEnd"/>
      <w:r w:rsidRPr="00096DF3">
        <w:rPr>
          <w:rFonts w:ascii="宋体" w:eastAsia="宋体" w:hAnsi="宋体" w:cs="宋体"/>
          <w:color w:val="000000"/>
          <w:kern w:val="0"/>
          <w:szCs w:val="21"/>
        </w:rPr>
        <w:t>方向提出交割的一方补偿18美分/蒲式耳，芝加哥及本斯哈波运单；16美分/蒲式耳，罗开港——斯纳克运单；15.5美分/蒲式耳，渥太华——智利科斯运单；15美分/蒲式耳，皮奥里亚——</w:t>
      </w:r>
      <w:proofErr w:type="gramStart"/>
      <w:r w:rsidRPr="00096DF3">
        <w:rPr>
          <w:rFonts w:ascii="宋体" w:eastAsia="宋体" w:hAnsi="宋体" w:cs="宋体"/>
          <w:color w:val="000000"/>
          <w:kern w:val="0"/>
          <w:szCs w:val="21"/>
        </w:rPr>
        <w:t>皮肯运单</w:t>
      </w:r>
      <w:proofErr w:type="gramEnd"/>
      <w:r w:rsidRPr="00096DF3">
        <w:rPr>
          <w:rFonts w:ascii="宋体" w:eastAsia="宋体" w:hAnsi="宋体" w:cs="宋体"/>
          <w:color w:val="000000"/>
          <w:kern w:val="0"/>
          <w:szCs w:val="21"/>
        </w:rPr>
        <w:t>；14 .5美分/蒲式耳，哈瓦那——哈</w:t>
      </w:r>
      <w:proofErr w:type="gramStart"/>
      <w:r w:rsidRPr="00096DF3">
        <w:rPr>
          <w:rFonts w:ascii="宋体" w:eastAsia="宋体" w:hAnsi="宋体" w:cs="宋体"/>
          <w:color w:val="000000"/>
          <w:kern w:val="0"/>
          <w:szCs w:val="21"/>
        </w:rPr>
        <w:t>仃</w:t>
      </w:r>
      <w:proofErr w:type="gramEnd"/>
      <w:r w:rsidRPr="00096DF3">
        <w:rPr>
          <w:rFonts w:ascii="宋体" w:eastAsia="宋体" w:hAnsi="宋体" w:cs="宋体"/>
          <w:color w:val="000000"/>
          <w:kern w:val="0"/>
          <w:szCs w:val="21"/>
        </w:rPr>
        <w:t>运单（仅适用于大豆）。</w:t>
      </w:r>
      <w:r w:rsidRPr="00096DF3">
        <w:rPr>
          <w:rFonts w:ascii="宋体" w:eastAsia="宋体" w:hAnsi="宋体" w:cs="宋体"/>
          <w:color w:val="000000"/>
          <w:kern w:val="0"/>
          <w:szCs w:val="21"/>
        </w:rPr>
        <w:br/>
      </w:r>
      <w:r w:rsidRPr="00096DF3">
        <w:rPr>
          <w:rFonts w:ascii="宋体" w:eastAsia="宋体" w:hAnsi="宋体" w:cs="宋体"/>
          <w:color w:val="000000"/>
          <w:kern w:val="0"/>
          <w:szCs w:val="21"/>
        </w:rPr>
        <w:br/>
        <w:t xml:space="preserve">    </w:t>
      </w:r>
      <w:r w:rsidRPr="00096DF3">
        <w:rPr>
          <w:rFonts w:ascii="宋体" w:eastAsia="宋体" w:hAnsi="宋体" w:cs="宋体"/>
          <w:color w:val="0000FF"/>
          <w:kern w:val="0"/>
          <w:szCs w:val="21"/>
        </w:rPr>
        <w:t>（七）驳船所有权的集中对依利诺斯河流交割体系的运行是否产生不利影响？</w:t>
      </w:r>
      <w:r w:rsidRPr="00096DF3">
        <w:rPr>
          <w:rFonts w:ascii="宋体" w:eastAsia="宋体" w:hAnsi="宋体" w:cs="宋体"/>
          <w:color w:val="0000FF"/>
          <w:kern w:val="0"/>
          <w:szCs w:val="21"/>
        </w:rPr>
        <w:br/>
      </w:r>
      <w:r w:rsidRPr="00096DF3">
        <w:rPr>
          <w:rFonts w:ascii="宋体" w:eastAsia="宋体" w:hAnsi="宋体" w:cs="宋体"/>
          <w:color w:val="000000"/>
          <w:kern w:val="0"/>
          <w:szCs w:val="21"/>
        </w:rPr>
        <w:br/>
        <w:t>    实际上，新交割区域驳船所有权的集中程度比目前的大湖和海运市场的集中程度小得多。1995年美国陆军作物工程部航运数据中心的资料表明，在内陆沿河流域，有11535艘巨型带盖驳船分别归属49家公司，其中5家大公司拥有64％的驳船，有17家公司营运驳船超过100艘。相比之下，大约75％的“大湖”货轮由3家公司拥有。另外，有许多重要的信息服务中心公布当日驳船运费，美国农业部也对驳船公司进行调查，公布每周概况。</w:t>
      </w:r>
    </w:p>
    <w:p w:rsidR="00096DF3" w:rsidRPr="00096DF3" w:rsidRDefault="00096DF3" w:rsidP="005413EE">
      <w:pPr>
        <w:widowControl/>
        <w:shd w:val="clear" w:color="auto" w:fill="FFFFFF"/>
        <w:wordWrap w:val="0"/>
        <w:spacing w:before="150" w:after="100" w:afterAutospacing="1" w:line="432" w:lineRule="auto"/>
        <w:ind w:firstLine="480"/>
        <w:jc w:val="left"/>
        <w:rPr>
          <w:rFonts w:ascii="宋体" w:eastAsia="宋体" w:hAnsi="宋体" w:cs="宋体"/>
          <w:color w:val="000000"/>
          <w:kern w:val="0"/>
          <w:szCs w:val="21"/>
        </w:rPr>
      </w:pPr>
      <w:r w:rsidRPr="00096DF3">
        <w:rPr>
          <w:rFonts w:ascii="宋体" w:eastAsia="宋体" w:hAnsi="宋体" w:cs="宋体"/>
          <w:color w:val="000000"/>
          <w:kern w:val="0"/>
          <w:szCs w:val="21"/>
        </w:rPr>
        <w:t xml:space="preserve">    </w:t>
      </w:r>
      <w:r w:rsidRPr="00096DF3">
        <w:rPr>
          <w:rFonts w:ascii="宋体" w:eastAsia="宋体" w:hAnsi="宋体" w:cs="宋体"/>
          <w:color w:val="0000FF"/>
          <w:kern w:val="0"/>
          <w:szCs w:val="21"/>
        </w:rPr>
        <w:t>（八）美国东南部市场如何与期货交割市场保持联系？</w:t>
      </w:r>
      <w:r w:rsidRPr="00096DF3">
        <w:rPr>
          <w:rFonts w:ascii="宋体" w:eastAsia="宋体" w:hAnsi="宋体" w:cs="宋体"/>
          <w:color w:val="0000FF"/>
          <w:kern w:val="0"/>
          <w:szCs w:val="21"/>
        </w:rPr>
        <w:br/>
      </w:r>
      <w:r w:rsidRPr="00096DF3">
        <w:rPr>
          <w:rFonts w:ascii="宋体" w:eastAsia="宋体" w:hAnsi="宋体" w:cs="宋体"/>
          <w:color w:val="000000"/>
          <w:kern w:val="0"/>
          <w:szCs w:val="21"/>
        </w:rPr>
        <w:br/>
        <w:t>    沿依利诺斯河流域的谷物可以航运或铁路运输到东南部市场。驳船可以在俄亥俄河上向北到田纳西河，运到不同的用户，如家禽综合加工厂、玉米湿法加工厂以及大豆加工厂等。多数套期保值者不需要持仓到最后交割，美国东南部和世界各地的市场参与者可以采用芝加哥期货市场依利诺斯沿河交割体系作为现货交易的基点或参考，套期保值者可以用期货头寸与相关的交易对手进行期货转现货交易。</w:t>
      </w:r>
      <w:r w:rsidRPr="00096DF3">
        <w:rPr>
          <w:rFonts w:ascii="宋体" w:eastAsia="宋体" w:hAnsi="宋体" w:cs="宋体"/>
          <w:color w:val="000000"/>
          <w:kern w:val="0"/>
          <w:szCs w:val="21"/>
        </w:rPr>
        <w:br/>
      </w:r>
      <w:r w:rsidRPr="00096DF3">
        <w:rPr>
          <w:rFonts w:ascii="宋体" w:eastAsia="宋体" w:hAnsi="宋体" w:cs="宋体"/>
          <w:color w:val="000000"/>
          <w:kern w:val="0"/>
          <w:szCs w:val="21"/>
        </w:rPr>
        <w:br/>
        <w:t xml:space="preserve">    </w:t>
      </w:r>
      <w:r w:rsidRPr="00096DF3">
        <w:rPr>
          <w:rFonts w:ascii="宋体" w:eastAsia="宋体" w:hAnsi="宋体" w:cs="宋体"/>
          <w:color w:val="0000FF"/>
          <w:kern w:val="0"/>
          <w:szCs w:val="21"/>
        </w:rPr>
        <w:t>（九）每日注册仓单、运单、谷物库存等信息公布有何变化？</w:t>
      </w:r>
      <w:r w:rsidRPr="00096DF3">
        <w:rPr>
          <w:rFonts w:ascii="宋体" w:eastAsia="宋体" w:hAnsi="宋体" w:cs="宋体"/>
          <w:color w:val="0000FF"/>
          <w:kern w:val="0"/>
          <w:szCs w:val="21"/>
        </w:rPr>
        <w:br/>
      </w:r>
      <w:r w:rsidRPr="00096DF3">
        <w:rPr>
          <w:rFonts w:ascii="宋体" w:eastAsia="宋体" w:hAnsi="宋体" w:cs="宋体"/>
          <w:color w:val="000000"/>
          <w:kern w:val="0"/>
          <w:szCs w:val="21"/>
        </w:rPr>
        <w:br/>
      </w:r>
      <w:r w:rsidRPr="00096DF3">
        <w:rPr>
          <w:rFonts w:ascii="宋体" w:eastAsia="宋体" w:hAnsi="宋体" w:cs="宋体"/>
          <w:color w:val="000000"/>
          <w:kern w:val="0"/>
          <w:szCs w:val="21"/>
        </w:rPr>
        <w:lastRenderedPageBreak/>
        <w:t>    没有变化。谷物报告将继续由芝加哥交易所仓单注册管理办公室公布，其它报告以及美国陆军作物工程报告可以在互联网上查到。</w:t>
      </w:r>
    </w:p>
    <w:p w:rsidR="00096DF3" w:rsidRPr="00096DF3" w:rsidRDefault="00096DF3" w:rsidP="005413EE">
      <w:pPr>
        <w:widowControl/>
        <w:shd w:val="clear" w:color="auto" w:fill="FFFFFF"/>
        <w:wordWrap w:val="0"/>
        <w:spacing w:before="150" w:after="100" w:afterAutospacing="1" w:line="432" w:lineRule="auto"/>
        <w:ind w:firstLine="480"/>
        <w:jc w:val="left"/>
        <w:rPr>
          <w:rFonts w:ascii="宋体" w:eastAsia="宋体" w:hAnsi="宋体" w:cs="宋体"/>
          <w:color w:val="000000"/>
          <w:kern w:val="0"/>
          <w:szCs w:val="21"/>
        </w:rPr>
      </w:pPr>
      <w:r w:rsidRPr="00096DF3">
        <w:rPr>
          <w:rFonts w:ascii="宋体" w:eastAsia="宋体" w:hAnsi="宋体" w:cs="宋体"/>
          <w:color w:val="000000"/>
          <w:kern w:val="0"/>
          <w:szCs w:val="21"/>
        </w:rPr>
        <w:t xml:space="preserve">    </w:t>
      </w:r>
      <w:r w:rsidRPr="00096DF3">
        <w:rPr>
          <w:rFonts w:ascii="宋体" w:eastAsia="宋体" w:hAnsi="宋体" w:cs="宋体"/>
          <w:color w:val="0000FF"/>
          <w:kern w:val="0"/>
          <w:szCs w:val="21"/>
        </w:rPr>
        <w:t>（十）为什么大豆期货合约增加了更多的装卸地点？</w:t>
      </w:r>
      <w:r w:rsidRPr="00096DF3">
        <w:rPr>
          <w:rFonts w:ascii="宋体" w:eastAsia="宋体" w:hAnsi="宋体" w:cs="宋体"/>
          <w:color w:val="0000FF"/>
          <w:kern w:val="0"/>
          <w:szCs w:val="21"/>
        </w:rPr>
        <w:br/>
      </w:r>
      <w:r w:rsidRPr="00096DF3">
        <w:rPr>
          <w:rFonts w:ascii="宋体" w:eastAsia="宋体" w:hAnsi="宋体" w:cs="宋体"/>
          <w:color w:val="000000"/>
          <w:kern w:val="0"/>
          <w:szCs w:val="21"/>
        </w:rPr>
        <w:br/>
        <w:t>    因为这些增加的装卸地点反映了在这里装载的少量大豆的情况，正如可以与从依利诺斯河北部流域运来的玉米相比较的那样。</w:t>
      </w:r>
      <w:r w:rsidRPr="00096DF3">
        <w:rPr>
          <w:rFonts w:ascii="宋体" w:eastAsia="宋体" w:hAnsi="宋体" w:cs="宋体"/>
          <w:color w:val="000000"/>
          <w:kern w:val="0"/>
          <w:szCs w:val="21"/>
        </w:rPr>
        <w:br/>
      </w:r>
      <w:r w:rsidRPr="00096DF3">
        <w:rPr>
          <w:rFonts w:ascii="宋体" w:eastAsia="宋体" w:hAnsi="宋体" w:cs="宋体"/>
          <w:color w:val="000000"/>
          <w:kern w:val="0"/>
          <w:szCs w:val="21"/>
        </w:rPr>
        <w:br/>
        <w:t xml:space="preserve">    </w:t>
      </w:r>
      <w:r w:rsidRPr="00096DF3">
        <w:rPr>
          <w:rFonts w:ascii="宋体" w:eastAsia="宋体" w:hAnsi="宋体" w:cs="宋体"/>
          <w:color w:val="0000FF"/>
          <w:kern w:val="0"/>
          <w:szCs w:val="21"/>
        </w:rPr>
        <w:t>（十一）为什么期货合约到期的最后交易日从交割月的最后营业日前的第8天改成交割月的前15日的营业日？为什么最后交割日从交割月最后营业日改成最后交易日之后的第2个营业日？</w:t>
      </w:r>
      <w:r w:rsidRPr="00096DF3">
        <w:rPr>
          <w:rFonts w:ascii="宋体" w:eastAsia="宋体" w:hAnsi="宋体" w:cs="宋体"/>
          <w:color w:val="0000FF"/>
          <w:kern w:val="0"/>
          <w:szCs w:val="21"/>
        </w:rPr>
        <w:br/>
      </w:r>
      <w:r w:rsidRPr="00096DF3">
        <w:rPr>
          <w:rFonts w:ascii="宋体" w:eastAsia="宋体" w:hAnsi="宋体" w:cs="宋体"/>
          <w:color w:val="000000"/>
          <w:kern w:val="0"/>
          <w:szCs w:val="21"/>
        </w:rPr>
        <w:br/>
        <w:t>    把最后交易日和最后交割日大约确定在月中，在交割月期间，提出交割的一方将开始接收谷物的装运。最后交易日和最后交割日的变化将帮助保证所交割的谷物的价值更好地代表在期货市场上套期保值的谷物价值。</w:t>
      </w:r>
    </w:p>
    <w:p w:rsidR="00096DF3" w:rsidRPr="00096DF3" w:rsidRDefault="00096DF3" w:rsidP="005413EE">
      <w:pPr>
        <w:widowControl/>
        <w:shd w:val="clear" w:color="auto" w:fill="FFFFFF"/>
        <w:wordWrap w:val="0"/>
        <w:spacing w:before="150" w:after="100" w:afterAutospacing="1" w:line="432" w:lineRule="auto"/>
        <w:ind w:firstLine="480"/>
        <w:jc w:val="left"/>
        <w:rPr>
          <w:rFonts w:ascii="宋体" w:eastAsia="宋体" w:hAnsi="宋体" w:cs="宋体"/>
          <w:color w:val="000000"/>
          <w:kern w:val="0"/>
          <w:szCs w:val="21"/>
        </w:rPr>
      </w:pPr>
      <w:r w:rsidRPr="00096DF3">
        <w:rPr>
          <w:rFonts w:ascii="宋体" w:eastAsia="宋体" w:hAnsi="宋体" w:cs="宋体"/>
          <w:color w:val="000000"/>
          <w:kern w:val="0"/>
          <w:szCs w:val="21"/>
        </w:rPr>
        <w:t xml:space="preserve">    </w:t>
      </w:r>
      <w:r w:rsidRPr="00096DF3">
        <w:rPr>
          <w:rFonts w:ascii="宋体" w:eastAsia="宋体" w:hAnsi="宋体" w:cs="宋体"/>
          <w:color w:val="0000FF"/>
          <w:kern w:val="0"/>
          <w:szCs w:val="21"/>
        </w:rPr>
        <w:t>（十二）期货对离岸价(FOB)运输每蒲式耳升水4美分的目的是什么？</w:t>
      </w:r>
      <w:r w:rsidRPr="00096DF3">
        <w:rPr>
          <w:rFonts w:ascii="宋体" w:eastAsia="宋体" w:hAnsi="宋体" w:cs="宋体"/>
          <w:color w:val="0000FF"/>
          <w:kern w:val="0"/>
          <w:szCs w:val="21"/>
        </w:rPr>
        <w:br/>
      </w:r>
      <w:r w:rsidRPr="00096DF3">
        <w:rPr>
          <w:rFonts w:ascii="宋体" w:eastAsia="宋体" w:hAnsi="宋体" w:cs="宋体"/>
          <w:color w:val="000000"/>
          <w:kern w:val="0"/>
          <w:szCs w:val="21"/>
        </w:rPr>
        <w:br/>
        <w:t>    这一费用取代了目前合约装载收费每蒲式耳6美分的规定，确定这一收费为离岸价(FOB)升水，当前的</w:t>
      </w:r>
      <w:proofErr w:type="gramStart"/>
      <w:r w:rsidRPr="00096DF3">
        <w:rPr>
          <w:rFonts w:ascii="宋体" w:eastAsia="宋体" w:hAnsi="宋体" w:cs="宋体"/>
          <w:color w:val="000000"/>
          <w:kern w:val="0"/>
          <w:szCs w:val="21"/>
        </w:rPr>
        <w:t>基差关系</w:t>
      </w:r>
      <w:proofErr w:type="gramEnd"/>
      <w:r w:rsidRPr="00096DF3">
        <w:rPr>
          <w:rFonts w:ascii="宋体" w:eastAsia="宋体" w:hAnsi="宋体" w:cs="宋体"/>
          <w:color w:val="000000"/>
          <w:kern w:val="0"/>
          <w:szCs w:val="21"/>
        </w:rPr>
        <w:t>将大部分保留。</w:t>
      </w:r>
      <w:r w:rsidRPr="00096DF3">
        <w:rPr>
          <w:rFonts w:ascii="宋体" w:eastAsia="宋体" w:hAnsi="宋体" w:cs="宋体"/>
          <w:color w:val="000000"/>
          <w:kern w:val="0"/>
          <w:szCs w:val="21"/>
        </w:rPr>
        <w:br/>
      </w:r>
      <w:r w:rsidRPr="00096DF3">
        <w:rPr>
          <w:rFonts w:ascii="宋体" w:eastAsia="宋体" w:hAnsi="宋体" w:cs="宋体"/>
          <w:color w:val="000000"/>
          <w:kern w:val="0"/>
          <w:szCs w:val="21"/>
        </w:rPr>
        <w:br/>
        <w:t xml:space="preserve">    </w:t>
      </w:r>
      <w:r w:rsidRPr="00096DF3">
        <w:rPr>
          <w:rFonts w:ascii="宋体" w:eastAsia="宋体" w:hAnsi="宋体" w:cs="宋体"/>
          <w:b/>
          <w:bCs/>
          <w:color w:val="FF0000"/>
          <w:kern w:val="0"/>
        </w:rPr>
        <w:t>四、新交割条款</w:t>
      </w:r>
      <w:r w:rsidRPr="00096DF3">
        <w:rPr>
          <w:rFonts w:ascii="宋体" w:eastAsia="宋体" w:hAnsi="宋体" w:cs="宋体"/>
          <w:b/>
          <w:bCs/>
          <w:color w:val="FF0000"/>
          <w:kern w:val="0"/>
          <w:szCs w:val="21"/>
        </w:rPr>
        <w:br/>
      </w:r>
      <w:r w:rsidRPr="00096DF3">
        <w:rPr>
          <w:rFonts w:ascii="宋体" w:eastAsia="宋体" w:hAnsi="宋体" w:cs="宋体"/>
          <w:color w:val="000000"/>
          <w:kern w:val="0"/>
          <w:szCs w:val="21"/>
        </w:rPr>
        <w:br/>
        <w:t xml:space="preserve">    </w:t>
      </w:r>
      <w:r w:rsidRPr="00096DF3">
        <w:rPr>
          <w:rFonts w:ascii="宋体" w:eastAsia="宋体" w:hAnsi="宋体" w:cs="宋体"/>
          <w:color w:val="0000FF"/>
          <w:kern w:val="0"/>
          <w:szCs w:val="21"/>
        </w:rPr>
        <w:t>质量差价</w:t>
      </w:r>
      <w:r w:rsidRPr="00096DF3">
        <w:rPr>
          <w:rFonts w:ascii="宋体" w:eastAsia="宋体" w:hAnsi="宋体" w:cs="宋体"/>
          <w:color w:val="000000"/>
          <w:kern w:val="0"/>
          <w:szCs w:val="21"/>
        </w:rPr>
        <w:br/>
      </w:r>
      <w:r w:rsidRPr="00096DF3">
        <w:rPr>
          <w:rFonts w:ascii="宋体" w:eastAsia="宋体" w:hAnsi="宋体" w:cs="宋体"/>
          <w:color w:val="000000"/>
          <w:kern w:val="0"/>
          <w:szCs w:val="21"/>
        </w:rPr>
        <w:br/>
        <w:t>    2号黄玉米 合约价</w:t>
      </w:r>
      <w:r w:rsidRPr="00096DF3">
        <w:rPr>
          <w:rFonts w:ascii="宋体" w:eastAsia="宋体" w:hAnsi="宋体" w:cs="宋体"/>
          <w:color w:val="000000"/>
          <w:kern w:val="0"/>
          <w:szCs w:val="21"/>
        </w:rPr>
        <w:br/>
      </w:r>
      <w:r w:rsidRPr="00096DF3">
        <w:rPr>
          <w:rFonts w:ascii="宋体" w:eastAsia="宋体" w:hAnsi="宋体" w:cs="宋体"/>
          <w:color w:val="000000"/>
          <w:kern w:val="0"/>
          <w:szCs w:val="21"/>
        </w:rPr>
        <w:lastRenderedPageBreak/>
        <w:t>    1号黄玉米 ＋1.5美分/蒲式耳</w:t>
      </w:r>
      <w:r w:rsidRPr="00096DF3">
        <w:rPr>
          <w:rFonts w:ascii="宋体" w:eastAsia="宋体" w:hAnsi="宋体" w:cs="宋体"/>
          <w:color w:val="000000"/>
          <w:kern w:val="0"/>
          <w:szCs w:val="21"/>
        </w:rPr>
        <w:br/>
        <w:t>    3号黄玉米 －1.5美分/蒲式耳</w:t>
      </w:r>
      <w:r w:rsidRPr="00096DF3">
        <w:rPr>
          <w:rFonts w:ascii="宋体" w:eastAsia="宋体" w:hAnsi="宋体" w:cs="宋体"/>
          <w:color w:val="000000"/>
          <w:kern w:val="0"/>
          <w:szCs w:val="21"/>
        </w:rPr>
        <w:br/>
        <w:t>    2号黄大豆 合约价</w:t>
      </w:r>
      <w:r w:rsidRPr="00096DF3">
        <w:rPr>
          <w:rFonts w:ascii="宋体" w:eastAsia="宋体" w:hAnsi="宋体" w:cs="宋体"/>
          <w:color w:val="000000"/>
          <w:kern w:val="0"/>
          <w:szCs w:val="21"/>
        </w:rPr>
        <w:br/>
        <w:t>    1号黄大豆 ＋6美分/蒲式耳</w:t>
      </w:r>
      <w:r w:rsidRPr="00096DF3">
        <w:rPr>
          <w:rFonts w:ascii="宋体" w:eastAsia="宋体" w:hAnsi="宋体" w:cs="宋体"/>
          <w:color w:val="000000"/>
          <w:kern w:val="0"/>
          <w:szCs w:val="21"/>
        </w:rPr>
        <w:br/>
        <w:t>    3号黄大豆(杂质3％) －6美分/蒲式耳</w:t>
      </w:r>
      <w:r w:rsidRPr="00096DF3">
        <w:rPr>
          <w:rFonts w:ascii="宋体" w:eastAsia="宋体" w:hAnsi="宋体" w:cs="宋体"/>
          <w:color w:val="000000"/>
          <w:kern w:val="0"/>
          <w:szCs w:val="21"/>
        </w:rPr>
        <w:br/>
      </w:r>
      <w:r w:rsidRPr="00096DF3">
        <w:rPr>
          <w:rFonts w:ascii="宋体" w:eastAsia="宋体" w:hAnsi="宋体" w:cs="宋体"/>
          <w:color w:val="000000"/>
          <w:kern w:val="0"/>
          <w:szCs w:val="21"/>
        </w:rPr>
        <w:br/>
        <w:t xml:space="preserve">    </w:t>
      </w:r>
      <w:r w:rsidRPr="00096DF3">
        <w:rPr>
          <w:rFonts w:ascii="宋体" w:eastAsia="宋体" w:hAnsi="宋体" w:cs="宋体"/>
          <w:color w:val="0000FF"/>
          <w:kern w:val="0"/>
          <w:szCs w:val="21"/>
        </w:rPr>
        <w:t>交割地点</w:t>
      </w:r>
      <w:r w:rsidRPr="00096DF3">
        <w:rPr>
          <w:rFonts w:ascii="宋体" w:eastAsia="宋体" w:hAnsi="宋体" w:cs="宋体"/>
          <w:color w:val="0000FF"/>
          <w:kern w:val="0"/>
          <w:szCs w:val="21"/>
        </w:rPr>
        <w:br/>
      </w:r>
      <w:r w:rsidRPr="00096DF3">
        <w:rPr>
          <w:rFonts w:ascii="宋体" w:eastAsia="宋体" w:hAnsi="宋体" w:cs="宋体"/>
          <w:color w:val="000000"/>
          <w:kern w:val="0"/>
          <w:szCs w:val="21"/>
        </w:rPr>
        <w:br/>
        <w:t>    玉米和大豆交割,起点依利诺斯芝加哥(包括印地安那的本斯哈波)至依利诺斯</w:t>
      </w:r>
      <w:proofErr w:type="gramStart"/>
      <w:r w:rsidRPr="00096DF3">
        <w:rPr>
          <w:rFonts w:ascii="宋体" w:eastAsia="宋体" w:hAnsi="宋体" w:cs="宋体"/>
          <w:color w:val="000000"/>
          <w:kern w:val="0"/>
          <w:szCs w:val="21"/>
        </w:rPr>
        <w:t>的皮肯</w:t>
      </w:r>
      <w:proofErr w:type="gramEnd"/>
      <w:r w:rsidRPr="00096DF3">
        <w:rPr>
          <w:rFonts w:ascii="宋体" w:eastAsia="宋体" w:hAnsi="宋体" w:cs="宋体"/>
          <w:color w:val="000000"/>
          <w:kern w:val="0"/>
          <w:szCs w:val="21"/>
        </w:rPr>
        <w:t>(航标151)沿河交割, 大豆交割延长至密苏里河上游的圣路易斯(航标170)</w:t>
      </w:r>
      <w:r w:rsidRPr="00096DF3">
        <w:rPr>
          <w:rFonts w:ascii="宋体" w:eastAsia="宋体" w:hAnsi="宋体" w:cs="宋体"/>
          <w:color w:val="000000"/>
          <w:kern w:val="0"/>
          <w:szCs w:val="21"/>
        </w:rPr>
        <w:br/>
      </w:r>
      <w:r w:rsidRPr="00096DF3">
        <w:rPr>
          <w:rFonts w:ascii="宋体" w:eastAsia="宋体" w:hAnsi="宋体" w:cs="宋体"/>
          <w:color w:val="000000"/>
          <w:kern w:val="0"/>
          <w:szCs w:val="21"/>
        </w:rPr>
        <w:br/>
        <w:t xml:space="preserve">    </w:t>
      </w:r>
      <w:r w:rsidRPr="00096DF3">
        <w:rPr>
          <w:rFonts w:ascii="宋体" w:eastAsia="宋体" w:hAnsi="宋体" w:cs="宋体"/>
          <w:color w:val="0000FF"/>
          <w:kern w:val="0"/>
          <w:szCs w:val="21"/>
        </w:rPr>
        <w:t>地区差价</w:t>
      </w:r>
      <w:r w:rsidRPr="00096DF3">
        <w:rPr>
          <w:rFonts w:ascii="宋体" w:eastAsia="宋体" w:hAnsi="宋体" w:cs="宋体"/>
          <w:color w:val="0000FF"/>
          <w:kern w:val="0"/>
          <w:szCs w:val="21"/>
        </w:rPr>
        <w:br/>
      </w:r>
      <w:r w:rsidRPr="00096DF3">
        <w:rPr>
          <w:rFonts w:ascii="宋体" w:eastAsia="宋体" w:hAnsi="宋体" w:cs="宋体"/>
          <w:color w:val="000000"/>
          <w:kern w:val="0"/>
          <w:szCs w:val="21"/>
        </w:rPr>
        <w:br/>
        <w:t>    玉米和大豆</w:t>
      </w:r>
      <w:r w:rsidRPr="00096DF3">
        <w:rPr>
          <w:rFonts w:ascii="宋体" w:eastAsia="宋体" w:hAnsi="宋体" w:cs="宋体"/>
          <w:color w:val="000000"/>
          <w:kern w:val="0"/>
          <w:szCs w:val="21"/>
        </w:rPr>
        <w:br/>
      </w:r>
      <w:r w:rsidRPr="00096DF3">
        <w:rPr>
          <w:rFonts w:ascii="宋体" w:eastAsia="宋体" w:hAnsi="宋体" w:cs="宋体"/>
          <w:color w:val="000000"/>
          <w:kern w:val="0"/>
          <w:szCs w:val="21"/>
        </w:rPr>
        <w:br/>
        <w:t>    依利诺斯的芝加哥——印地安那的本斯哈波(航标ILR304) 合约价</w:t>
      </w:r>
      <w:r w:rsidRPr="00096DF3">
        <w:rPr>
          <w:rFonts w:ascii="宋体" w:eastAsia="宋体" w:hAnsi="宋体" w:cs="宋体"/>
          <w:color w:val="000000"/>
          <w:kern w:val="0"/>
          <w:szCs w:val="21"/>
        </w:rPr>
        <w:br/>
        <w:t>    依利诺斯的罗开港——依利诺斯的斯纳克(航标ILR245) ＋2美分/蒲式耳</w:t>
      </w:r>
      <w:r w:rsidRPr="00096DF3">
        <w:rPr>
          <w:rFonts w:ascii="宋体" w:eastAsia="宋体" w:hAnsi="宋体" w:cs="宋体"/>
          <w:color w:val="000000"/>
          <w:kern w:val="0"/>
          <w:szCs w:val="21"/>
        </w:rPr>
        <w:br/>
        <w:t>    依利诺斯的渥太华——依利诺斯的智利科斯(航标ILR170) ＋2.5美分/蒲式耳</w:t>
      </w:r>
      <w:r w:rsidRPr="00096DF3">
        <w:rPr>
          <w:rFonts w:ascii="宋体" w:eastAsia="宋体" w:hAnsi="宋体" w:cs="宋体"/>
          <w:color w:val="000000"/>
          <w:kern w:val="0"/>
          <w:szCs w:val="21"/>
        </w:rPr>
        <w:br/>
        <w:t>    依利诺斯的皮奥里亚——依利诺斯</w:t>
      </w:r>
      <w:proofErr w:type="gramStart"/>
      <w:r w:rsidRPr="00096DF3">
        <w:rPr>
          <w:rFonts w:ascii="宋体" w:eastAsia="宋体" w:hAnsi="宋体" w:cs="宋体"/>
          <w:color w:val="000000"/>
          <w:kern w:val="0"/>
          <w:szCs w:val="21"/>
        </w:rPr>
        <w:t>的皮肯</w:t>
      </w:r>
      <w:proofErr w:type="gramEnd"/>
      <w:r w:rsidRPr="00096DF3">
        <w:rPr>
          <w:rFonts w:ascii="宋体" w:eastAsia="宋体" w:hAnsi="宋体" w:cs="宋体"/>
          <w:color w:val="000000"/>
          <w:kern w:val="0"/>
          <w:szCs w:val="21"/>
        </w:rPr>
        <w:t>(航标ILR151) ＋3美分/蒲式耳</w:t>
      </w:r>
      <w:r w:rsidRPr="00096DF3">
        <w:rPr>
          <w:rFonts w:ascii="宋体" w:eastAsia="宋体" w:hAnsi="宋体" w:cs="宋体"/>
          <w:color w:val="000000"/>
          <w:kern w:val="0"/>
          <w:szCs w:val="21"/>
        </w:rPr>
        <w:br/>
      </w:r>
      <w:r w:rsidRPr="00096DF3">
        <w:rPr>
          <w:rFonts w:ascii="宋体" w:eastAsia="宋体" w:hAnsi="宋体" w:cs="宋体"/>
          <w:color w:val="000000"/>
          <w:kern w:val="0"/>
          <w:szCs w:val="21"/>
        </w:rPr>
        <w:br/>
        <w:t>    大豆</w:t>
      </w:r>
    </w:p>
    <w:p w:rsidR="00096DF3" w:rsidRPr="00096DF3" w:rsidRDefault="00096DF3" w:rsidP="005413EE">
      <w:pPr>
        <w:widowControl/>
        <w:shd w:val="clear" w:color="auto" w:fill="FFFFFF"/>
        <w:wordWrap w:val="0"/>
        <w:spacing w:before="150" w:after="100" w:afterAutospacing="1" w:line="432" w:lineRule="auto"/>
        <w:ind w:firstLine="480"/>
        <w:jc w:val="left"/>
        <w:rPr>
          <w:rFonts w:ascii="宋体" w:eastAsia="宋体" w:hAnsi="宋体" w:cs="宋体"/>
          <w:color w:val="000000"/>
          <w:kern w:val="0"/>
          <w:szCs w:val="21"/>
        </w:rPr>
      </w:pPr>
      <w:r w:rsidRPr="00096DF3">
        <w:rPr>
          <w:rFonts w:ascii="宋体" w:eastAsia="宋体" w:hAnsi="宋体" w:cs="宋体"/>
          <w:color w:val="000000"/>
          <w:kern w:val="0"/>
          <w:szCs w:val="21"/>
        </w:rPr>
        <w:t>    依利诺斯的哈瓦那——依利诺斯的哈</w:t>
      </w:r>
      <w:proofErr w:type="gramStart"/>
      <w:r w:rsidRPr="00096DF3">
        <w:rPr>
          <w:rFonts w:ascii="宋体" w:eastAsia="宋体" w:hAnsi="宋体" w:cs="宋体"/>
          <w:color w:val="000000"/>
          <w:kern w:val="0"/>
          <w:szCs w:val="21"/>
        </w:rPr>
        <w:t>仃</w:t>
      </w:r>
      <w:proofErr w:type="gramEnd"/>
      <w:r w:rsidRPr="00096DF3">
        <w:rPr>
          <w:rFonts w:ascii="宋体" w:eastAsia="宋体" w:hAnsi="宋体" w:cs="宋体"/>
          <w:color w:val="000000"/>
          <w:kern w:val="0"/>
          <w:szCs w:val="21"/>
        </w:rPr>
        <w:t>(航标ILR0) ＋3.5美分/蒲式耳</w:t>
      </w:r>
      <w:r w:rsidRPr="00096DF3">
        <w:rPr>
          <w:rFonts w:ascii="宋体" w:eastAsia="宋体" w:hAnsi="宋体" w:cs="宋体"/>
          <w:color w:val="000000"/>
          <w:kern w:val="0"/>
          <w:szCs w:val="21"/>
        </w:rPr>
        <w:br/>
        <w:t>    依利诺斯的奥顿——密苏里的圣路易斯(航标UMR170) ＋6美分/蒲式耳</w:t>
      </w:r>
      <w:r w:rsidRPr="00096DF3">
        <w:rPr>
          <w:rFonts w:ascii="宋体" w:eastAsia="宋体" w:hAnsi="宋体" w:cs="宋体"/>
          <w:color w:val="000000"/>
          <w:kern w:val="0"/>
          <w:szCs w:val="21"/>
        </w:rPr>
        <w:br/>
      </w:r>
      <w:r w:rsidRPr="00096DF3">
        <w:rPr>
          <w:rFonts w:ascii="宋体" w:eastAsia="宋体" w:hAnsi="宋体" w:cs="宋体"/>
          <w:color w:val="000000"/>
          <w:kern w:val="0"/>
          <w:szCs w:val="21"/>
        </w:rPr>
        <w:br/>
      </w:r>
      <w:r w:rsidRPr="00096DF3">
        <w:rPr>
          <w:rFonts w:ascii="宋体" w:eastAsia="宋体" w:hAnsi="宋体" w:cs="宋体"/>
          <w:color w:val="000000"/>
          <w:kern w:val="0"/>
          <w:szCs w:val="21"/>
        </w:rPr>
        <w:lastRenderedPageBreak/>
        <w:t>   </w:t>
      </w:r>
      <w:r w:rsidRPr="00096DF3">
        <w:rPr>
          <w:rFonts w:ascii="宋体" w:eastAsia="宋体" w:hAnsi="宋体" w:cs="宋体"/>
          <w:color w:val="0000FF"/>
          <w:kern w:val="0"/>
          <w:szCs w:val="21"/>
        </w:rPr>
        <w:t xml:space="preserve"> 交割工具</w:t>
      </w:r>
      <w:r w:rsidRPr="00096DF3">
        <w:rPr>
          <w:rFonts w:ascii="宋体" w:eastAsia="宋体" w:hAnsi="宋体" w:cs="宋体"/>
          <w:color w:val="0000FF"/>
          <w:kern w:val="0"/>
          <w:szCs w:val="21"/>
        </w:rPr>
        <w:br/>
      </w:r>
      <w:r w:rsidRPr="00096DF3">
        <w:rPr>
          <w:rFonts w:ascii="宋体" w:eastAsia="宋体" w:hAnsi="宋体" w:cs="宋体"/>
          <w:color w:val="000000"/>
          <w:kern w:val="0"/>
          <w:szCs w:val="21"/>
        </w:rPr>
        <w:br/>
        <w:t xml:space="preserve">    </w:t>
      </w:r>
      <w:r w:rsidRPr="00096DF3">
        <w:rPr>
          <w:rFonts w:ascii="宋体" w:eastAsia="宋体" w:hAnsi="宋体" w:cs="宋体"/>
          <w:color w:val="0000FF"/>
          <w:kern w:val="0"/>
          <w:szCs w:val="21"/>
        </w:rPr>
        <w:t>运单</w:t>
      </w:r>
      <w:r w:rsidRPr="00096DF3">
        <w:rPr>
          <w:rFonts w:ascii="宋体" w:eastAsia="宋体" w:hAnsi="宋体" w:cs="宋体"/>
          <w:color w:val="000000"/>
          <w:kern w:val="0"/>
          <w:szCs w:val="21"/>
        </w:rPr>
        <w:br/>
      </w:r>
      <w:r w:rsidRPr="00096DF3">
        <w:rPr>
          <w:rFonts w:ascii="宋体" w:eastAsia="宋体" w:hAnsi="宋体" w:cs="宋体"/>
          <w:color w:val="000000"/>
          <w:kern w:val="0"/>
          <w:szCs w:val="21"/>
        </w:rPr>
        <w:br/>
        <w:t xml:space="preserve">    </w:t>
      </w:r>
      <w:r w:rsidRPr="00096DF3">
        <w:rPr>
          <w:rFonts w:ascii="宋体" w:eastAsia="宋体" w:hAnsi="宋体" w:cs="宋体"/>
          <w:color w:val="0000FF"/>
          <w:kern w:val="0"/>
          <w:szCs w:val="21"/>
        </w:rPr>
        <w:t>签发仓单最大量</w:t>
      </w:r>
      <w:r w:rsidRPr="00096DF3">
        <w:rPr>
          <w:rFonts w:ascii="宋体" w:eastAsia="宋体" w:hAnsi="宋体" w:cs="宋体"/>
          <w:color w:val="0000FF"/>
          <w:kern w:val="0"/>
          <w:szCs w:val="21"/>
        </w:rPr>
        <w:br/>
      </w:r>
      <w:r w:rsidRPr="00096DF3">
        <w:rPr>
          <w:rFonts w:ascii="宋体" w:eastAsia="宋体" w:hAnsi="宋体" w:cs="宋体"/>
          <w:color w:val="000000"/>
          <w:kern w:val="0"/>
          <w:szCs w:val="21"/>
        </w:rPr>
        <w:br/>
        <w:t>    小于(1)装运点</w:t>
      </w:r>
      <w:proofErr w:type="gramStart"/>
      <w:r w:rsidRPr="00096DF3">
        <w:rPr>
          <w:rFonts w:ascii="宋体" w:eastAsia="宋体" w:hAnsi="宋体" w:cs="宋体"/>
          <w:color w:val="000000"/>
          <w:kern w:val="0"/>
          <w:szCs w:val="21"/>
        </w:rPr>
        <w:t>日注册</w:t>
      </w:r>
      <w:proofErr w:type="gramEnd"/>
      <w:r w:rsidRPr="00096DF3">
        <w:rPr>
          <w:rFonts w:ascii="宋体" w:eastAsia="宋体" w:hAnsi="宋体" w:cs="宋体"/>
          <w:color w:val="000000"/>
          <w:kern w:val="0"/>
          <w:szCs w:val="21"/>
        </w:rPr>
        <w:t>装载率×30，或(2)资产净值的25％</w:t>
      </w:r>
      <w:r w:rsidRPr="00096DF3">
        <w:rPr>
          <w:rFonts w:ascii="宋体" w:eastAsia="宋体" w:hAnsi="宋体" w:cs="宋体"/>
          <w:color w:val="000000"/>
          <w:kern w:val="0"/>
          <w:szCs w:val="21"/>
        </w:rPr>
        <w:br/>
        <w:t>    离岸价(FOB)水运或铁路运输对期货升水(过去为装载费)</w:t>
      </w:r>
      <w:r w:rsidRPr="00096DF3">
        <w:rPr>
          <w:rFonts w:ascii="宋体" w:eastAsia="宋体" w:hAnsi="宋体" w:cs="宋体"/>
          <w:color w:val="000000"/>
          <w:kern w:val="0"/>
          <w:szCs w:val="21"/>
        </w:rPr>
        <w:br/>
        <w:t>    玉米 4美分/蒲式耳</w:t>
      </w:r>
      <w:r w:rsidRPr="00096DF3">
        <w:rPr>
          <w:rFonts w:ascii="宋体" w:eastAsia="宋体" w:hAnsi="宋体" w:cs="宋体"/>
          <w:color w:val="000000"/>
          <w:kern w:val="0"/>
          <w:szCs w:val="21"/>
        </w:rPr>
        <w:br/>
        <w:t>    大豆 4美分/蒲式耳</w:t>
      </w:r>
      <w:r w:rsidRPr="00096DF3">
        <w:rPr>
          <w:rFonts w:ascii="宋体" w:eastAsia="宋体" w:hAnsi="宋体" w:cs="宋体"/>
          <w:color w:val="000000"/>
          <w:kern w:val="0"/>
          <w:szCs w:val="21"/>
        </w:rPr>
        <w:br/>
        <w:t>    升水费用(过去为仓储费)</w:t>
      </w:r>
      <w:r w:rsidRPr="00096DF3">
        <w:rPr>
          <w:rFonts w:ascii="宋体" w:eastAsia="宋体" w:hAnsi="宋体" w:cs="宋体"/>
          <w:color w:val="000000"/>
          <w:kern w:val="0"/>
          <w:szCs w:val="21"/>
        </w:rPr>
        <w:br/>
        <w:t>    依利诺斯的芝加哥和印地安那的本斯哈波 0.0012美元/蒲式耳/天</w:t>
      </w:r>
      <w:r w:rsidRPr="00096DF3">
        <w:rPr>
          <w:rFonts w:ascii="宋体" w:eastAsia="宋体" w:hAnsi="宋体" w:cs="宋体"/>
          <w:color w:val="000000"/>
          <w:kern w:val="0"/>
          <w:szCs w:val="21"/>
        </w:rPr>
        <w:br/>
        <w:t>    依利诺斯河和</w:t>
      </w:r>
      <w:proofErr w:type="gramStart"/>
      <w:r w:rsidRPr="00096DF3">
        <w:rPr>
          <w:rFonts w:ascii="宋体" w:eastAsia="宋体" w:hAnsi="宋体" w:cs="宋体"/>
          <w:color w:val="000000"/>
          <w:kern w:val="0"/>
          <w:szCs w:val="21"/>
        </w:rPr>
        <w:t>密苏</w:t>
      </w:r>
      <w:proofErr w:type="gramEnd"/>
      <w:r w:rsidRPr="00096DF3">
        <w:rPr>
          <w:rFonts w:ascii="宋体" w:eastAsia="宋体" w:hAnsi="宋体" w:cs="宋体"/>
          <w:color w:val="000000"/>
          <w:kern w:val="0"/>
          <w:szCs w:val="21"/>
        </w:rPr>
        <w:t xml:space="preserve">里的圣路易斯 </w:t>
      </w:r>
      <w:r w:rsidRPr="00096DF3">
        <w:rPr>
          <w:rFonts w:ascii="宋体" w:eastAsia="宋体" w:hAnsi="宋体" w:cs="宋体"/>
          <w:color w:val="000000"/>
          <w:kern w:val="0"/>
          <w:szCs w:val="21"/>
        </w:rPr>
        <w:br/>
        <w:t>     0.0010美元/蒲式耳/天</w:t>
      </w:r>
      <w:r w:rsidRPr="00096DF3">
        <w:rPr>
          <w:rFonts w:ascii="宋体" w:eastAsia="宋体" w:hAnsi="宋体" w:cs="宋体"/>
          <w:color w:val="000000"/>
          <w:kern w:val="0"/>
          <w:szCs w:val="21"/>
        </w:rPr>
        <w:br/>
      </w:r>
      <w:r w:rsidRPr="00096DF3">
        <w:rPr>
          <w:rFonts w:ascii="宋体" w:eastAsia="宋体" w:hAnsi="宋体" w:cs="宋体"/>
          <w:color w:val="000000"/>
          <w:kern w:val="0"/>
          <w:szCs w:val="21"/>
        </w:rPr>
        <w:br/>
        <w:t xml:space="preserve">    </w:t>
      </w:r>
      <w:r w:rsidRPr="00096DF3">
        <w:rPr>
          <w:rFonts w:ascii="宋体" w:eastAsia="宋体" w:hAnsi="宋体" w:cs="宋体"/>
          <w:color w:val="0000FF"/>
          <w:kern w:val="0"/>
          <w:szCs w:val="21"/>
        </w:rPr>
        <w:t>驳船装载率</w:t>
      </w:r>
      <w:r w:rsidRPr="00096DF3">
        <w:rPr>
          <w:rFonts w:ascii="宋体" w:eastAsia="宋体" w:hAnsi="宋体" w:cs="宋体"/>
          <w:color w:val="0000FF"/>
          <w:kern w:val="0"/>
          <w:szCs w:val="21"/>
        </w:rPr>
        <w:br/>
      </w:r>
      <w:r w:rsidRPr="00096DF3">
        <w:rPr>
          <w:rFonts w:ascii="宋体" w:eastAsia="宋体" w:hAnsi="宋体" w:cs="宋体"/>
          <w:color w:val="000000"/>
          <w:kern w:val="0"/>
          <w:szCs w:val="21"/>
        </w:rPr>
        <w:br/>
        <w:t>    以装运点</w:t>
      </w:r>
      <w:proofErr w:type="gramStart"/>
      <w:r w:rsidRPr="00096DF3">
        <w:rPr>
          <w:rFonts w:ascii="宋体" w:eastAsia="宋体" w:hAnsi="宋体" w:cs="宋体"/>
          <w:color w:val="000000"/>
          <w:kern w:val="0"/>
          <w:szCs w:val="21"/>
        </w:rPr>
        <w:t>日注册</w:t>
      </w:r>
      <w:proofErr w:type="gramEnd"/>
      <w:r w:rsidRPr="00096DF3">
        <w:rPr>
          <w:rFonts w:ascii="宋体" w:eastAsia="宋体" w:hAnsi="宋体" w:cs="宋体"/>
          <w:color w:val="000000"/>
          <w:kern w:val="0"/>
          <w:szCs w:val="21"/>
        </w:rPr>
        <w:t>装载率为准, 收到装运指令后3个营业日或建设性地点的1个营业日之后</w:t>
      </w:r>
      <w:r w:rsidRPr="00096DF3">
        <w:rPr>
          <w:rFonts w:ascii="宋体" w:eastAsia="宋体" w:hAnsi="宋体" w:cs="宋体"/>
          <w:color w:val="000000"/>
          <w:kern w:val="0"/>
          <w:szCs w:val="21"/>
        </w:rPr>
        <w:br/>
      </w:r>
      <w:r w:rsidRPr="00096DF3">
        <w:rPr>
          <w:rFonts w:ascii="宋体" w:eastAsia="宋体" w:hAnsi="宋体" w:cs="宋体"/>
          <w:color w:val="000000"/>
          <w:kern w:val="0"/>
          <w:szCs w:val="21"/>
        </w:rPr>
        <w:br/>
        <w:t xml:space="preserve">    </w:t>
      </w:r>
      <w:r w:rsidRPr="00096DF3">
        <w:rPr>
          <w:rFonts w:ascii="宋体" w:eastAsia="宋体" w:hAnsi="宋体" w:cs="宋体"/>
          <w:color w:val="0000FF"/>
          <w:kern w:val="0"/>
          <w:szCs w:val="21"/>
        </w:rPr>
        <w:t>货轮装载率</w:t>
      </w:r>
      <w:r w:rsidRPr="00096DF3">
        <w:rPr>
          <w:rFonts w:ascii="宋体" w:eastAsia="宋体" w:hAnsi="宋体" w:cs="宋体"/>
          <w:color w:val="0000FF"/>
          <w:kern w:val="0"/>
          <w:szCs w:val="21"/>
        </w:rPr>
        <w:br/>
      </w:r>
      <w:r w:rsidRPr="00096DF3">
        <w:rPr>
          <w:rFonts w:ascii="宋体" w:eastAsia="宋体" w:hAnsi="宋体" w:cs="宋体"/>
          <w:color w:val="000000"/>
          <w:kern w:val="0"/>
          <w:szCs w:val="21"/>
        </w:rPr>
        <w:br/>
        <w:t>    300,000蒲式耳/天,依利诺斯的芝加哥和印地安那的本斯哈波的通知为3天</w:t>
      </w:r>
      <w:r w:rsidRPr="00096DF3">
        <w:rPr>
          <w:rFonts w:ascii="宋体" w:eastAsia="宋体" w:hAnsi="宋体" w:cs="宋体"/>
          <w:color w:val="000000"/>
          <w:kern w:val="0"/>
          <w:szCs w:val="21"/>
        </w:rPr>
        <w:br/>
      </w:r>
      <w:r w:rsidRPr="00096DF3">
        <w:rPr>
          <w:rFonts w:ascii="宋体" w:eastAsia="宋体" w:hAnsi="宋体" w:cs="宋体"/>
          <w:color w:val="000000"/>
          <w:kern w:val="0"/>
          <w:szCs w:val="21"/>
        </w:rPr>
        <w:br/>
        <w:t xml:space="preserve">    </w:t>
      </w:r>
      <w:r w:rsidRPr="00096DF3">
        <w:rPr>
          <w:rFonts w:ascii="宋体" w:eastAsia="宋体" w:hAnsi="宋体" w:cs="宋体"/>
          <w:color w:val="0000FF"/>
          <w:kern w:val="0"/>
          <w:szCs w:val="21"/>
        </w:rPr>
        <w:t>铁路装载率</w:t>
      </w:r>
      <w:r w:rsidRPr="00096DF3">
        <w:rPr>
          <w:rFonts w:ascii="宋体" w:eastAsia="宋体" w:hAnsi="宋体" w:cs="宋体"/>
          <w:color w:val="0000FF"/>
          <w:kern w:val="0"/>
          <w:szCs w:val="21"/>
        </w:rPr>
        <w:br/>
      </w:r>
      <w:r w:rsidRPr="00096DF3">
        <w:rPr>
          <w:rFonts w:ascii="宋体" w:eastAsia="宋体" w:hAnsi="宋体" w:cs="宋体"/>
          <w:color w:val="000000"/>
          <w:kern w:val="0"/>
          <w:szCs w:val="21"/>
        </w:rPr>
        <w:lastRenderedPageBreak/>
        <w:br/>
        <w:t>    依利诺斯的芝加哥和印地安那的本斯哈波的提货方可以选择铁路装载率为25车皮/天</w:t>
      </w:r>
      <w:r w:rsidRPr="00096DF3">
        <w:rPr>
          <w:rFonts w:ascii="宋体" w:eastAsia="宋体" w:hAnsi="宋体" w:cs="宋体"/>
          <w:color w:val="000000"/>
          <w:kern w:val="0"/>
          <w:szCs w:val="21"/>
        </w:rPr>
        <w:br/>
      </w:r>
      <w:r w:rsidRPr="00096DF3">
        <w:rPr>
          <w:rFonts w:ascii="宋体" w:eastAsia="宋体" w:hAnsi="宋体" w:cs="宋体"/>
          <w:color w:val="000000"/>
          <w:kern w:val="0"/>
          <w:szCs w:val="21"/>
        </w:rPr>
        <w:br/>
        <w:t xml:space="preserve">    </w:t>
      </w:r>
      <w:r w:rsidRPr="00096DF3">
        <w:rPr>
          <w:rFonts w:ascii="宋体" w:eastAsia="宋体" w:hAnsi="宋体" w:cs="宋体"/>
          <w:color w:val="0000FF"/>
          <w:kern w:val="0"/>
          <w:szCs w:val="21"/>
        </w:rPr>
        <w:t>最后交易日</w:t>
      </w:r>
    </w:p>
    <w:p w:rsidR="00096DF3" w:rsidRPr="00096DF3" w:rsidRDefault="00096DF3" w:rsidP="005413EE">
      <w:pPr>
        <w:widowControl/>
        <w:shd w:val="clear" w:color="auto" w:fill="FFFFFF"/>
        <w:wordWrap w:val="0"/>
        <w:spacing w:before="150" w:after="100" w:afterAutospacing="1" w:line="432" w:lineRule="auto"/>
        <w:ind w:firstLine="480"/>
        <w:jc w:val="left"/>
        <w:rPr>
          <w:rFonts w:ascii="宋体" w:eastAsia="宋体" w:hAnsi="宋体" w:cs="宋体"/>
          <w:color w:val="000000"/>
          <w:kern w:val="0"/>
          <w:szCs w:val="21"/>
        </w:rPr>
      </w:pPr>
      <w:r w:rsidRPr="00096DF3">
        <w:rPr>
          <w:rFonts w:ascii="宋体" w:eastAsia="宋体" w:hAnsi="宋体" w:cs="宋体"/>
          <w:color w:val="000000"/>
          <w:kern w:val="0"/>
          <w:szCs w:val="21"/>
        </w:rPr>
        <w:t>    交割月先于15日的各营业日</w:t>
      </w:r>
      <w:r w:rsidRPr="00096DF3">
        <w:rPr>
          <w:rFonts w:ascii="宋体" w:eastAsia="宋体" w:hAnsi="宋体" w:cs="宋体"/>
          <w:color w:val="000000"/>
          <w:kern w:val="0"/>
          <w:szCs w:val="21"/>
        </w:rPr>
        <w:br/>
      </w:r>
      <w:r w:rsidRPr="00096DF3">
        <w:rPr>
          <w:rFonts w:ascii="宋体" w:eastAsia="宋体" w:hAnsi="宋体" w:cs="宋体"/>
          <w:color w:val="000000"/>
          <w:kern w:val="0"/>
          <w:szCs w:val="21"/>
        </w:rPr>
        <w:br/>
        <w:t xml:space="preserve">    </w:t>
      </w:r>
      <w:r w:rsidRPr="00096DF3">
        <w:rPr>
          <w:rFonts w:ascii="宋体" w:eastAsia="宋体" w:hAnsi="宋体" w:cs="宋体"/>
          <w:color w:val="0000FF"/>
          <w:kern w:val="0"/>
          <w:szCs w:val="21"/>
        </w:rPr>
        <w:t>最后交割日</w:t>
      </w:r>
      <w:r w:rsidRPr="00096DF3">
        <w:rPr>
          <w:rFonts w:ascii="宋体" w:eastAsia="宋体" w:hAnsi="宋体" w:cs="宋体"/>
          <w:color w:val="0000FF"/>
          <w:kern w:val="0"/>
          <w:szCs w:val="21"/>
        </w:rPr>
        <w:br/>
      </w:r>
      <w:r w:rsidRPr="00096DF3">
        <w:rPr>
          <w:rFonts w:ascii="宋体" w:eastAsia="宋体" w:hAnsi="宋体" w:cs="宋体"/>
          <w:color w:val="000000"/>
          <w:kern w:val="0"/>
          <w:szCs w:val="21"/>
        </w:rPr>
        <w:br/>
        <w:t>    最后交易日后的第2个营业日</w:t>
      </w:r>
      <w:r w:rsidRPr="00096DF3">
        <w:rPr>
          <w:rFonts w:ascii="宋体" w:eastAsia="宋体" w:hAnsi="宋体" w:cs="宋体"/>
          <w:color w:val="000000"/>
          <w:kern w:val="0"/>
          <w:szCs w:val="21"/>
        </w:rPr>
        <w:br/>
      </w:r>
      <w:r w:rsidRPr="00096DF3">
        <w:rPr>
          <w:rFonts w:ascii="宋体" w:eastAsia="宋体" w:hAnsi="宋体" w:cs="宋体"/>
          <w:color w:val="000000"/>
          <w:kern w:val="0"/>
          <w:szCs w:val="21"/>
        </w:rPr>
        <w:br/>
        <w:t xml:space="preserve">    </w:t>
      </w:r>
      <w:r w:rsidRPr="00096DF3">
        <w:rPr>
          <w:rFonts w:ascii="宋体" w:eastAsia="宋体" w:hAnsi="宋体" w:cs="宋体"/>
          <w:color w:val="0000FF"/>
          <w:kern w:val="0"/>
          <w:szCs w:val="21"/>
        </w:rPr>
        <w:t>规定资格</w:t>
      </w:r>
      <w:r w:rsidRPr="00096DF3">
        <w:rPr>
          <w:rFonts w:ascii="宋体" w:eastAsia="宋体" w:hAnsi="宋体" w:cs="宋体"/>
          <w:color w:val="0000FF"/>
          <w:kern w:val="0"/>
          <w:szCs w:val="21"/>
        </w:rPr>
        <w:br/>
      </w:r>
      <w:r w:rsidRPr="00096DF3">
        <w:rPr>
          <w:rFonts w:ascii="宋体" w:eastAsia="宋体" w:hAnsi="宋体" w:cs="宋体"/>
          <w:color w:val="000000"/>
          <w:kern w:val="0"/>
          <w:szCs w:val="21"/>
        </w:rPr>
        <w:br/>
        <w:t>    最低运作资金200万美元和资产净值500万美元</w:t>
      </w:r>
      <w:r w:rsidRPr="00096DF3">
        <w:rPr>
          <w:rFonts w:ascii="宋体" w:eastAsia="宋体" w:hAnsi="宋体" w:cs="宋体"/>
          <w:color w:val="000000"/>
          <w:kern w:val="0"/>
          <w:szCs w:val="21"/>
        </w:rPr>
        <w:br/>
      </w:r>
      <w:r w:rsidRPr="00096DF3">
        <w:rPr>
          <w:rFonts w:ascii="宋体" w:eastAsia="宋体" w:hAnsi="宋体" w:cs="宋体"/>
          <w:color w:val="000000"/>
          <w:kern w:val="0"/>
          <w:szCs w:val="21"/>
        </w:rPr>
        <w:br/>
        <w:t>    注：大豆驳船运费由美分/吨转换成美分/蒲式耳的标准转换系数为0.03，玉米的转换系数为0.028。</w:t>
      </w:r>
      <w:r w:rsidRPr="00096DF3">
        <w:rPr>
          <w:rFonts w:ascii="宋体" w:eastAsia="宋体" w:hAnsi="宋体" w:cs="宋体"/>
          <w:color w:val="000000"/>
          <w:kern w:val="0"/>
          <w:szCs w:val="21"/>
        </w:rPr>
        <w:br/>
      </w:r>
      <w:r w:rsidRPr="00096DF3">
        <w:rPr>
          <w:rFonts w:ascii="宋体" w:eastAsia="宋体" w:hAnsi="宋体" w:cs="宋体"/>
          <w:color w:val="000000"/>
          <w:kern w:val="0"/>
          <w:szCs w:val="21"/>
        </w:rPr>
        <w:br/>
        <w:t>    编后 围绕如何更好地发挥期货市场价格发现和套期保值功能，CBOT对旧的交割制度“动了大手术”，王学勤先生翻译的《CBOT新交割体系》向我们详细介绍了CBOT的新交割体系。从中我们不难发现对传统期货观念的突破和创新，例如新的交割体系将交割地点集中到沿依利诺斯河流域、将交割工具由仓单变为运单等。这些是值得我们学习借鉴的。</w:t>
      </w:r>
      <w:r w:rsidRPr="00096DF3">
        <w:rPr>
          <w:rFonts w:ascii="宋体" w:eastAsia="宋体" w:hAnsi="宋体" w:cs="宋体"/>
          <w:color w:val="000000"/>
          <w:kern w:val="0"/>
          <w:szCs w:val="21"/>
        </w:rPr>
        <w:br/>
      </w:r>
      <w:r w:rsidRPr="00096DF3">
        <w:rPr>
          <w:rFonts w:ascii="宋体" w:eastAsia="宋体" w:hAnsi="宋体" w:cs="宋体"/>
          <w:color w:val="000000"/>
          <w:kern w:val="0"/>
          <w:szCs w:val="21"/>
        </w:rPr>
        <w:br/>
        <w:t>    在对CBOT新的交割体系进行研究之余，我们也注意到，面对飞速发展的现货市场，哪怕是世界第一的期货交易所也不敢有丝毫懈怠，而是义无返顾地加入变革的洪流。那么仍在</w:t>
      </w:r>
      <w:r w:rsidRPr="00096DF3">
        <w:rPr>
          <w:rFonts w:ascii="宋体" w:eastAsia="宋体" w:hAnsi="宋体" w:cs="宋体"/>
          <w:color w:val="000000"/>
          <w:kern w:val="0"/>
          <w:szCs w:val="21"/>
        </w:rPr>
        <w:lastRenderedPageBreak/>
        <w:t xml:space="preserve">蹒跚学步的年轻的中国期货市场在借鉴国际惯例的同时，是不是也应在建设有中国特色的期货市场过程中更多地发扬开拓创新的精神呢? </w:t>
      </w:r>
    </w:p>
    <w:tbl>
      <w:tblPr>
        <w:tblW w:w="5000" w:type="pct"/>
        <w:jc w:val="center"/>
        <w:tblCellSpacing w:w="0" w:type="dxa"/>
        <w:tblCellMar>
          <w:left w:w="0" w:type="dxa"/>
          <w:right w:w="0" w:type="dxa"/>
        </w:tblCellMar>
        <w:tblLook w:val="04A0"/>
      </w:tblPr>
      <w:tblGrid>
        <w:gridCol w:w="717"/>
        <w:gridCol w:w="1391"/>
        <w:gridCol w:w="155"/>
        <w:gridCol w:w="5079"/>
        <w:gridCol w:w="959"/>
        <w:gridCol w:w="5"/>
      </w:tblGrid>
      <w:tr w:rsidR="00931138" w:rsidRPr="00931138" w:rsidTr="00931138">
        <w:trPr>
          <w:tblCellSpacing w:w="0" w:type="dxa"/>
          <w:jc w:val="center"/>
        </w:trPr>
        <w:tc>
          <w:tcPr>
            <w:tcW w:w="0" w:type="auto"/>
            <w:gridSpan w:val="6"/>
            <w:noWrap/>
            <w:vAlign w:val="center"/>
            <w:hideMark/>
          </w:tcPr>
          <w:tbl>
            <w:tblPr>
              <w:tblW w:w="5000" w:type="pct"/>
              <w:jc w:val="right"/>
              <w:tblCellSpacing w:w="0" w:type="dxa"/>
              <w:tblCellMar>
                <w:left w:w="0" w:type="dxa"/>
                <w:right w:w="0" w:type="dxa"/>
              </w:tblCellMar>
              <w:tblLook w:val="04A0"/>
            </w:tblPr>
            <w:tblGrid>
              <w:gridCol w:w="8260"/>
            </w:tblGrid>
            <w:tr w:rsidR="00931138" w:rsidRPr="00931138">
              <w:trPr>
                <w:tblCellSpacing w:w="0" w:type="dxa"/>
                <w:jc w:val="right"/>
              </w:trPr>
              <w:tc>
                <w:tcPr>
                  <w:tcW w:w="0" w:type="auto"/>
                  <w:tcBorders>
                    <w:top w:val="single" w:sz="18" w:space="0" w:color="EEEEEE"/>
                    <w:left w:val="single" w:sz="18" w:space="0" w:color="EEEEEE"/>
                    <w:bottom w:val="single" w:sz="18" w:space="0" w:color="EEEEEE"/>
                    <w:right w:val="single" w:sz="18" w:space="0" w:color="EEEEEE"/>
                  </w:tcBorders>
                  <w:tcMar>
                    <w:top w:w="210" w:type="dxa"/>
                    <w:left w:w="0" w:type="dxa"/>
                    <w:bottom w:w="210" w:type="dxa"/>
                    <w:right w:w="0" w:type="dxa"/>
                  </w:tcMar>
                  <w:vAlign w:val="center"/>
                  <w:hideMark/>
                </w:tcPr>
                <w:p w:rsidR="00931138" w:rsidRPr="00931138" w:rsidRDefault="00931138" w:rsidP="005413EE">
                  <w:pPr>
                    <w:widowControl/>
                    <w:jc w:val="left"/>
                    <w:rPr>
                      <w:rFonts w:ascii="微软雅黑" w:eastAsia="微软雅黑" w:hAnsi="微软雅黑" w:cs="宋体"/>
                      <w:color w:val="08509A"/>
                      <w:kern w:val="0"/>
                      <w:szCs w:val="21"/>
                    </w:rPr>
                  </w:pPr>
                  <w:r w:rsidRPr="00931138">
                    <w:rPr>
                      <w:rFonts w:ascii="微软雅黑" w:eastAsia="微软雅黑" w:hAnsi="微软雅黑" w:cs="宋体" w:hint="eastAsia"/>
                      <w:b/>
                      <w:bCs/>
                      <w:color w:val="08509A"/>
                      <w:kern w:val="0"/>
                      <w:szCs w:val="21"/>
                    </w:rPr>
                    <w:t>厂库交割制度有助于套保功能得到有效发挥</w:t>
                  </w:r>
                </w:p>
              </w:tc>
            </w:tr>
          </w:tbl>
          <w:p w:rsidR="00931138" w:rsidRPr="00931138" w:rsidRDefault="00931138" w:rsidP="005413EE">
            <w:pPr>
              <w:widowControl/>
              <w:jc w:val="left"/>
              <w:rPr>
                <w:rFonts w:ascii="微软雅黑" w:eastAsia="微软雅黑" w:hAnsi="微软雅黑" w:cs="宋体"/>
                <w:color w:val="5C5C5C"/>
                <w:kern w:val="0"/>
                <w:sz w:val="18"/>
                <w:szCs w:val="18"/>
              </w:rPr>
            </w:pPr>
          </w:p>
        </w:tc>
      </w:tr>
      <w:tr w:rsidR="00931138" w:rsidRPr="00931138" w:rsidTr="00931138">
        <w:trPr>
          <w:tblCellSpacing w:w="0" w:type="dxa"/>
          <w:jc w:val="center"/>
        </w:trPr>
        <w:tc>
          <w:tcPr>
            <w:tcW w:w="0" w:type="auto"/>
            <w:gridSpan w:val="3"/>
            <w:shd w:val="clear" w:color="auto" w:fill="F8F8F8"/>
            <w:noWrap/>
            <w:vAlign w:val="center"/>
            <w:hideMark/>
          </w:tcPr>
          <w:p w:rsidR="00931138" w:rsidRPr="00931138" w:rsidRDefault="00931138" w:rsidP="005413EE">
            <w:pPr>
              <w:widowControl/>
              <w:jc w:val="left"/>
              <w:rPr>
                <w:rFonts w:ascii="微软雅黑" w:eastAsia="微软雅黑" w:hAnsi="微软雅黑" w:cs="宋体"/>
                <w:color w:val="5C5C5C"/>
                <w:kern w:val="0"/>
                <w:sz w:val="18"/>
                <w:szCs w:val="18"/>
              </w:rPr>
            </w:pPr>
          </w:p>
        </w:tc>
        <w:tc>
          <w:tcPr>
            <w:tcW w:w="0" w:type="auto"/>
            <w:gridSpan w:val="3"/>
            <w:shd w:val="clear" w:color="auto" w:fill="F8F8F8"/>
            <w:noWrap/>
            <w:vAlign w:val="center"/>
            <w:hideMark/>
          </w:tcPr>
          <w:p w:rsidR="00931138" w:rsidRPr="00931138" w:rsidRDefault="00931138" w:rsidP="005413EE">
            <w:pPr>
              <w:widowControl/>
              <w:jc w:val="left"/>
              <w:rPr>
                <w:rFonts w:ascii="微软雅黑" w:eastAsia="微软雅黑" w:hAnsi="微软雅黑" w:cs="宋体"/>
                <w:color w:val="5C5C5C"/>
                <w:kern w:val="0"/>
                <w:sz w:val="18"/>
                <w:szCs w:val="18"/>
              </w:rPr>
            </w:pPr>
          </w:p>
        </w:tc>
      </w:tr>
      <w:tr w:rsidR="00931138" w:rsidRPr="00931138" w:rsidTr="00931138">
        <w:trPr>
          <w:trHeight w:val="45"/>
          <w:tblCellSpacing w:w="0" w:type="dxa"/>
          <w:jc w:val="center"/>
        </w:trPr>
        <w:tc>
          <w:tcPr>
            <w:tcW w:w="0" w:type="auto"/>
            <w:gridSpan w:val="6"/>
            <w:vAlign w:val="center"/>
            <w:hideMark/>
          </w:tcPr>
          <w:p w:rsidR="00931138" w:rsidRPr="00931138" w:rsidRDefault="00931138" w:rsidP="005413EE">
            <w:pPr>
              <w:widowControl/>
              <w:jc w:val="left"/>
              <w:rPr>
                <w:rFonts w:ascii="微软雅黑" w:eastAsia="微软雅黑" w:hAnsi="微软雅黑" w:cs="宋体"/>
                <w:color w:val="5C5C5C"/>
                <w:kern w:val="0"/>
                <w:sz w:val="4"/>
                <w:szCs w:val="18"/>
              </w:rPr>
            </w:pPr>
          </w:p>
        </w:tc>
      </w:tr>
      <w:tr w:rsidR="00931138" w:rsidRPr="00931138" w:rsidTr="00931138">
        <w:trPr>
          <w:trHeight w:val="420"/>
          <w:tblCellSpacing w:w="0" w:type="dxa"/>
          <w:jc w:val="center"/>
        </w:trPr>
        <w:tc>
          <w:tcPr>
            <w:tcW w:w="250" w:type="pct"/>
            <w:shd w:val="clear" w:color="auto" w:fill="F8F8F8"/>
            <w:noWrap/>
            <w:tcMar>
              <w:top w:w="0" w:type="dxa"/>
              <w:left w:w="45" w:type="dxa"/>
              <w:bottom w:w="0" w:type="dxa"/>
              <w:right w:w="0" w:type="dxa"/>
            </w:tcMar>
            <w:vAlign w:val="center"/>
            <w:hideMark/>
          </w:tcPr>
          <w:p w:rsidR="00931138" w:rsidRPr="00931138" w:rsidRDefault="00931138" w:rsidP="005413EE">
            <w:pPr>
              <w:widowControl/>
              <w:jc w:val="left"/>
              <w:rPr>
                <w:rFonts w:ascii="微软雅黑" w:eastAsia="微软雅黑" w:hAnsi="微软雅黑" w:cs="宋体"/>
                <w:color w:val="5C5C5C"/>
                <w:kern w:val="0"/>
                <w:sz w:val="18"/>
                <w:szCs w:val="18"/>
              </w:rPr>
            </w:pPr>
            <w:r w:rsidRPr="00931138">
              <w:rPr>
                <w:rFonts w:ascii="微软雅黑" w:eastAsia="微软雅黑" w:hAnsi="微软雅黑" w:cs="宋体" w:hint="eastAsia"/>
                <w:color w:val="5C5C5C"/>
                <w:kern w:val="0"/>
                <w:sz w:val="18"/>
                <w:szCs w:val="18"/>
              </w:rPr>
              <w:t>发布时间:</w:t>
            </w:r>
          </w:p>
        </w:tc>
        <w:tc>
          <w:tcPr>
            <w:tcW w:w="250" w:type="pct"/>
            <w:shd w:val="clear" w:color="auto" w:fill="F8F8F8"/>
            <w:noWrap/>
            <w:vAlign w:val="center"/>
            <w:hideMark/>
          </w:tcPr>
          <w:p w:rsidR="00931138" w:rsidRPr="00931138" w:rsidRDefault="00931138" w:rsidP="005413EE">
            <w:pPr>
              <w:widowControl/>
              <w:jc w:val="left"/>
              <w:rPr>
                <w:rFonts w:ascii="微软雅黑" w:eastAsia="微软雅黑" w:hAnsi="微软雅黑" w:cs="宋体"/>
                <w:color w:val="5C5C5C"/>
                <w:kern w:val="0"/>
                <w:sz w:val="18"/>
                <w:szCs w:val="18"/>
              </w:rPr>
            </w:pPr>
            <w:r w:rsidRPr="00931138">
              <w:rPr>
                <w:rFonts w:ascii="微软雅黑" w:eastAsia="微软雅黑" w:hAnsi="微软雅黑" w:cs="宋体" w:hint="eastAsia"/>
                <w:color w:val="5C5C5C"/>
                <w:kern w:val="0"/>
                <w:sz w:val="18"/>
                <w:szCs w:val="18"/>
              </w:rPr>
              <w:t>2010年12月09日</w:t>
            </w:r>
          </w:p>
        </w:tc>
        <w:tc>
          <w:tcPr>
            <w:tcW w:w="50" w:type="pct"/>
            <w:shd w:val="clear" w:color="auto" w:fill="F8F8F8"/>
            <w:noWrap/>
            <w:vAlign w:val="center"/>
            <w:hideMark/>
          </w:tcPr>
          <w:p w:rsidR="00931138" w:rsidRPr="00931138" w:rsidRDefault="00931138" w:rsidP="005413EE">
            <w:pPr>
              <w:widowControl/>
              <w:jc w:val="left"/>
              <w:rPr>
                <w:rFonts w:ascii="微软雅黑" w:eastAsia="微软雅黑" w:hAnsi="微软雅黑" w:cs="宋体"/>
                <w:color w:val="5C5C5C"/>
                <w:kern w:val="0"/>
                <w:sz w:val="18"/>
                <w:szCs w:val="18"/>
              </w:rPr>
            </w:pPr>
            <w:r>
              <w:rPr>
                <w:rFonts w:ascii="微软雅黑" w:eastAsia="微软雅黑" w:hAnsi="微软雅黑" w:cs="宋体"/>
                <w:noProof/>
                <w:color w:val="5C5C5C"/>
                <w:kern w:val="0"/>
                <w:sz w:val="18"/>
                <w:szCs w:val="18"/>
              </w:rPr>
              <w:drawing>
                <wp:inline distT="0" distB="0" distL="0" distR="0">
                  <wp:extent cx="85725" cy="266700"/>
                  <wp:effectExtent l="19050" t="0" r="9525" b="0"/>
                  <wp:docPr id="1" name="图片 1" descr="http://www.cfachina.org/data/skins/chinese/image/bit-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fachina.org/data/skins/chinese/image/bit-07.gif"/>
                          <pic:cNvPicPr>
                            <a:picLocks noChangeAspect="1" noChangeArrowheads="1"/>
                          </pic:cNvPicPr>
                        </pic:nvPicPr>
                        <pic:blipFill>
                          <a:blip r:embed="rId8"/>
                          <a:srcRect/>
                          <a:stretch>
                            <a:fillRect/>
                          </a:stretch>
                        </pic:blipFill>
                        <pic:spPr bwMode="auto">
                          <a:xfrm>
                            <a:off x="0" y="0"/>
                            <a:ext cx="85725" cy="266700"/>
                          </a:xfrm>
                          <a:prstGeom prst="rect">
                            <a:avLst/>
                          </a:prstGeom>
                          <a:noFill/>
                          <a:ln w="9525">
                            <a:noFill/>
                            <a:miter lim="800000"/>
                            <a:headEnd/>
                            <a:tailEnd/>
                          </a:ln>
                        </pic:spPr>
                      </pic:pic>
                    </a:graphicData>
                  </a:graphic>
                </wp:inline>
              </w:drawing>
            </w:r>
          </w:p>
        </w:tc>
        <w:tc>
          <w:tcPr>
            <w:tcW w:w="0" w:type="auto"/>
            <w:shd w:val="clear" w:color="auto" w:fill="F8F8F8"/>
            <w:noWrap/>
            <w:vAlign w:val="center"/>
            <w:hideMark/>
          </w:tcPr>
          <w:p w:rsidR="00931138" w:rsidRPr="00931138" w:rsidRDefault="00931138" w:rsidP="005413EE">
            <w:pPr>
              <w:widowControl/>
              <w:jc w:val="left"/>
              <w:rPr>
                <w:rFonts w:ascii="微软雅黑" w:eastAsia="微软雅黑" w:hAnsi="微软雅黑" w:cs="宋体"/>
                <w:color w:val="5C5C5C"/>
                <w:kern w:val="0"/>
                <w:sz w:val="18"/>
                <w:szCs w:val="18"/>
              </w:rPr>
            </w:pPr>
            <w:r w:rsidRPr="00931138">
              <w:rPr>
                <w:rFonts w:ascii="微软雅黑" w:eastAsia="微软雅黑" w:hAnsi="微软雅黑" w:cs="宋体" w:hint="eastAsia"/>
                <w:color w:val="5C5C5C"/>
                <w:kern w:val="0"/>
                <w:sz w:val="18"/>
                <w:szCs w:val="18"/>
              </w:rPr>
              <w:t>阅读次数:245  新闻作者:大连商品交易所 陈伟 王淑梅  新闻来源:期货日报</w:t>
            </w:r>
          </w:p>
        </w:tc>
        <w:tc>
          <w:tcPr>
            <w:tcW w:w="250" w:type="pct"/>
            <w:shd w:val="clear" w:color="auto" w:fill="F8F8F8"/>
            <w:vAlign w:val="center"/>
            <w:hideMark/>
          </w:tcPr>
          <w:p w:rsidR="00931138" w:rsidRPr="00931138" w:rsidRDefault="005D72FC" w:rsidP="005413EE">
            <w:pPr>
              <w:widowControl/>
              <w:jc w:val="left"/>
              <w:rPr>
                <w:rFonts w:ascii="微软雅黑" w:eastAsia="微软雅黑" w:hAnsi="微软雅黑" w:cs="宋体"/>
                <w:color w:val="5C5C5C"/>
                <w:kern w:val="0"/>
                <w:sz w:val="18"/>
                <w:szCs w:val="18"/>
              </w:rPr>
            </w:pPr>
            <w:r w:rsidRPr="00931138">
              <w:rPr>
                <w:rFonts w:ascii="微软雅黑" w:eastAsia="微软雅黑" w:hAnsi="微软雅黑" w:cs="宋体"/>
                <w:color w:val="5C5C5C"/>
                <w:kern w:val="0"/>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5.5pt;height:18pt" o:ole="">
                  <v:imagedata r:id="rId9" o:title=""/>
                </v:shape>
                <w:control r:id="rId10" w:name="DefaultOcxName" w:shapeid="_x0000_i1028"/>
              </w:object>
            </w:r>
          </w:p>
        </w:tc>
        <w:tc>
          <w:tcPr>
            <w:tcW w:w="0" w:type="auto"/>
            <w:vAlign w:val="center"/>
            <w:hideMark/>
          </w:tcPr>
          <w:p w:rsidR="00931138" w:rsidRPr="00931138" w:rsidRDefault="00931138" w:rsidP="005413EE">
            <w:pPr>
              <w:widowControl/>
              <w:jc w:val="left"/>
              <w:rPr>
                <w:rFonts w:ascii="Times New Roman" w:eastAsia="Times New Roman" w:hAnsi="Times New Roman" w:cs="Times New Roman"/>
                <w:kern w:val="0"/>
                <w:sz w:val="20"/>
                <w:szCs w:val="20"/>
              </w:rPr>
            </w:pPr>
          </w:p>
        </w:tc>
      </w:tr>
    </w:tbl>
    <w:p w:rsidR="00931138" w:rsidRPr="00931138" w:rsidRDefault="00931138" w:rsidP="005413EE">
      <w:pPr>
        <w:widowControl/>
        <w:jc w:val="left"/>
        <w:rPr>
          <w:rFonts w:ascii="微软雅黑" w:eastAsia="微软雅黑" w:hAnsi="微软雅黑" w:cs="宋体"/>
          <w:vanish/>
          <w:color w:val="5C5C5C"/>
          <w:kern w:val="0"/>
          <w:sz w:val="18"/>
          <w:szCs w:val="18"/>
        </w:rPr>
      </w:pPr>
    </w:p>
    <w:tbl>
      <w:tblPr>
        <w:tblW w:w="4800" w:type="pct"/>
        <w:jc w:val="center"/>
        <w:tblCellSpacing w:w="0" w:type="dxa"/>
        <w:tblCellMar>
          <w:left w:w="0" w:type="dxa"/>
          <w:right w:w="0" w:type="dxa"/>
        </w:tblCellMar>
        <w:tblLook w:val="04A0"/>
      </w:tblPr>
      <w:tblGrid>
        <w:gridCol w:w="8606"/>
      </w:tblGrid>
      <w:tr w:rsidR="00931138" w:rsidRPr="00931138" w:rsidTr="00931138">
        <w:trPr>
          <w:tblCellSpacing w:w="0" w:type="dxa"/>
          <w:jc w:val="center"/>
        </w:trPr>
        <w:tc>
          <w:tcPr>
            <w:tcW w:w="5000" w:type="pct"/>
            <w:tcMar>
              <w:top w:w="150" w:type="dxa"/>
              <w:left w:w="150" w:type="dxa"/>
              <w:bottom w:w="150" w:type="dxa"/>
              <w:right w:w="150" w:type="dxa"/>
            </w:tcMar>
            <w:hideMark/>
          </w:tcPr>
          <w:p w:rsidR="00931138" w:rsidRPr="00931138" w:rsidRDefault="00931138" w:rsidP="005413EE">
            <w:pPr>
              <w:widowControl/>
              <w:spacing w:before="100" w:beforeAutospacing="1" w:after="100" w:afterAutospacing="1" w:line="360" w:lineRule="auto"/>
              <w:jc w:val="left"/>
              <w:rPr>
                <w:rFonts w:ascii="微软雅黑" w:eastAsia="微软雅黑" w:hAnsi="微软雅黑" w:cs="宋体"/>
                <w:color w:val="5C5C5C"/>
                <w:kern w:val="0"/>
                <w:szCs w:val="21"/>
              </w:rPr>
            </w:pPr>
            <w:r w:rsidRPr="00931138">
              <w:rPr>
                <w:rFonts w:ascii="微软雅黑" w:eastAsia="微软雅黑" w:hAnsi="微软雅黑" w:cs="宋体" w:hint="eastAsia"/>
                <w:color w:val="5C5C5C"/>
                <w:kern w:val="0"/>
                <w:szCs w:val="21"/>
              </w:rPr>
              <w:t xml:space="preserve">　　所谓厂库交割，是以厂家取代传统意义上的仓库，以生产能力和相应的信用保证作为出具仓单（即厂</w:t>
            </w:r>
            <w:proofErr w:type="gramStart"/>
            <w:r w:rsidRPr="00931138">
              <w:rPr>
                <w:rFonts w:ascii="微软雅黑" w:eastAsia="微软雅黑" w:hAnsi="微软雅黑" w:cs="宋体" w:hint="eastAsia"/>
                <w:color w:val="5C5C5C"/>
                <w:kern w:val="0"/>
                <w:szCs w:val="21"/>
              </w:rPr>
              <w:t>库仓</w:t>
            </w:r>
            <w:proofErr w:type="gramEnd"/>
            <w:r w:rsidRPr="00931138">
              <w:rPr>
                <w:rFonts w:ascii="微软雅黑" w:eastAsia="微软雅黑" w:hAnsi="微软雅黑" w:cs="宋体" w:hint="eastAsia"/>
                <w:color w:val="5C5C5C"/>
                <w:kern w:val="0"/>
                <w:szCs w:val="21"/>
              </w:rPr>
              <w:t>单）的依据，出库时按照买方要求在规定时间内提供相应质量和数量的实物，以履行交割义务。</w:t>
            </w:r>
            <w:r w:rsidRPr="00931138">
              <w:rPr>
                <w:rFonts w:ascii="微软雅黑" w:eastAsia="微软雅黑" w:hAnsi="微软雅黑" w:cs="宋体" w:hint="eastAsia"/>
                <w:color w:val="5C5C5C"/>
                <w:kern w:val="0"/>
                <w:szCs w:val="21"/>
              </w:rPr>
              <w:br/>
              <w:t xml:space="preserve">　　与传统的仓库交割制度相比，厂库制度的好处有三：一是有效降低交割成本，免去了将交割商品运到指定交割仓库的运输成本、装卸及短途倒运成本以及入库商品的检验成本等；二是能积极吸引现货商的参与，在厂库交割方式下，交割操作基本与现货购销无二，便于现货企业掌握和操作，同时，由于交割成本的降低和厂库制度的便利性，将更容易吸引和带动现货商进入期货市场；三是促进期货市场功能发挥，由于期货与现货共用一个流通渠道，有效实现了期现两大市场的无缝对接，更容易消除期现价格背离，促进期货市场价格发现和套期保值功能的发挥。</w:t>
            </w:r>
            <w:r w:rsidRPr="00931138">
              <w:rPr>
                <w:rFonts w:ascii="微软雅黑" w:eastAsia="微软雅黑" w:hAnsi="微软雅黑" w:cs="宋体" w:hint="eastAsia"/>
                <w:color w:val="5C5C5C"/>
                <w:kern w:val="0"/>
                <w:szCs w:val="21"/>
              </w:rPr>
              <w:br/>
              <w:t xml:space="preserve">　　厂库制度并不是我国期货市场的凭空杜撰，而是启发于美国的沿依利诺斯河交割体系，立足于我国现实的信用状况和贸易习惯，发展于我国期货市场的不断壮大和品种的不断丰富。目前，我国实施厂库制度的品种有豆</w:t>
            </w:r>
            <w:proofErr w:type="gramStart"/>
            <w:r w:rsidRPr="00931138">
              <w:rPr>
                <w:rFonts w:ascii="微软雅黑" w:eastAsia="微软雅黑" w:hAnsi="微软雅黑" w:cs="宋体" w:hint="eastAsia"/>
                <w:color w:val="5C5C5C"/>
                <w:kern w:val="0"/>
                <w:szCs w:val="21"/>
              </w:rPr>
              <w:t>粕</w:t>
            </w:r>
            <w:proofErr w:type="gramEnd"/>
            <w:r w:rsidRPr="00931138">
              <w:rPr>
                <w:rFonts w:ascii="微软雅黑" w:eastAsia="微软雅黑" w:hAnsi="微软雅黑" w:cs="宋体" w:hint="eastAsia"/>
                <w:color w:val="5C5C5C"/>
                <w:kern w:val="0"/>
                <w:szCs w:val="21"/>
              </w:rPr>
              <w:t>、豆油和棕榈油，芝加哥期货交易所（CBOT）的大豆、玉米、小麦、燕麦、豆</w:t>
            </w:r>
            <w:proofErr w:type="gramStart"/>
            <w:r w:rsidRPr="00931138">
              <w:rPr>
                <w:rFonts w:ascii="微软雅黑" w:eastAsia="微软雅黑" w:hAnsi="微软雅黑" w:cs="宋体" w:hint="eastAsia"/>
                <w:color w:val="5C5C5C"/>
                <w:kern w:val="0"/>
                <w:szCs w:val="21"/>
              </w:rPr>
              <w:t>粕</w:t>
            </w:r>
            <w:proofErr w:type="gramEnd"/>
            <w:r w:rsidRPr="00931138">
              <w:rPr>
                <w:rFonts w:ascii="微软雅黑" w:eastAsia="微软雅黑" w:hAnsi="微软雅黑" w:cs="宋体" w:hint="eastAsia"/>
                <w:color w:val="5C5C5C"/>
                <w:kern w:val="0"/>
                <w:szCs w:val="21"/>
              </w:rPr>
              <w:t>、豆油，东京谷物商品交易所（TGE）的豆油、豆</w:t>
            </w:r>
            <w:proofErr w:type="gramStart"/>
            <w:r w:rsidRPr="00931138">
              <w:rPr>
                <w:rFonts w:ascii="微软雅黑" w:eastAsia="微软雅黑" w:hAnsi="微软雅黑" w:cs="宋体" w:hint="eastAsia"/>
                <w:color w:val="5C5C5C"/>
                <w:kern w:val="0"/>
                <w:szCs w:val="21"/>
              </w:rPr>
              <w:t>粕</w:t>
            </w:r>
            <w:proofErr w:type="gramEnd"/>
            <w:r w:rsidRPr="00931138">
              <w:rPr>
                <w:rFonts w:ascii="微软雅黑" w:eastAsia="微软雅黑" w:hAnsi="微软雅黑" w:cs="宋体" w:hint="eastAsia"/>
                <w:color w:val="5C5C5C"/>
                <w:kern w:val="0"/>
                <w:szCs w:val="21"/>
              </w:rPr>
              <w:t>等品种也采用类似的交割体系。</w:t>
            </w:r>
            <w:r w:rsidRPr="00931138">
              <w:rPr>
                <w:rFonts w:ascii="微软雅黑" w:eastAsia="微软雅黑" w:hAnsi="微软雅黑" w:cs="宋体" w:hint="eastAsia"/>
                <w:color w:val="5C5C5C"/>
                <w:kern w:val="0"/>
                <w:szCs w:val="21"/>
              </w:rPr>
              <w:br/>
              <w:t xml:space="preserve">　</w:t>
            </w:r>
            <w:r w:rsidRPr="00931138">
              <w:rPr>
                <w:rFonts w:ascii="微软雅黑" w:eastAsia="微软雅黑" w:hAnsi="微软雅黑" w:cs="宋体" w:hint="eastAsia"/>
                <w:b/>
                <w:bCs/>
                <w:color w:val="5C5C5C"/>
                <w:kern w:val="0"/>
              </w:rPr>
              <w:t xml:space="preserve">　一、顺应现货贸易习惯是中美进行交割制度革新的根本原因</w:t>
            </w:r>
            <w:r w:rsidRPr="00931138">
              <w:rPr>
                <w:rFonts w:ascii="微软雅黑" w:eastAsia="微软雅黑" w:hAnsi="微软雅黑" w:cs="宋体" w:hint="eastAsia"/>
                <w:b/>
                <w:bCs/>
                <w:color w:val="5C5C5C"/>
                <w:kern w:val="0"/>
                <w:szCs w:val="21"/>
              </w:rPr>
              <w:br/>
            </w:r>
            <w:r w:rsidRPr="00931138">
              <w:rPr>
                <w:rFonts w:ascii="微软雅黑" w:eastAsia="微软雅黑" w:hAnsi="微软雅黑" w:cs="宋体" w:hint="eastAsia"/>
                <w:color w:val="5C5C5C"/>
                <w:kern w:val="0"/>
                <w:szCs w:val="21"/>
              </w:rPr>
              <w:lastRenderedPageBreak/>
              <w:t xml:space="preserve">　　无论美国期货市场的沿河交割，还是我国的厂库制度，本质都是为了顺应现货贸易习惯，解决现货市场问题，以有效服务现货企业参与和利用期货市场为目的。</w:t>
            </w:r>
            <w:r w:rsidRPr="00931138">
              <w:rPr>
                <w:rFonts w:ascii="微软雅黑" w:eastAsia="微软雅黑" w:hAnsi="微软雅黑" w:cs="宋体" w:hint="eastAsia"/>
                <w:color w:val="5C5C5C"/>
                <w:kern w:val="0"/>
                <w:szCs w:val="21"/>
              </w:rPr>
              <w:br/>
              <w:t xml:space="preserve">　　1.现货贸易习惯和流通方式的改变是CBOT修改交割制度的根本原因</w:t>
            </w:r>
            <w:r w:rsidRPr="00931138">
              <w:rPr>
                <w:rFonts w:ascii="微软雅黑" w:eastAsia="微软雅黑" w:hAnsi="微软雅黑" w:cs="宋体" w:hint="eastAsia"/>
                <w:color w:val="5C5C5C"/>
                <w:kern w:val="0"/>
                <w:szCs w:val="21"/>
              </w:rPr>
              <w:br/>
              <w:t xml:space="preserve">　　上世纪90年代以前，美国大豆、玉米生产区域集中，货品主要通过铁路由产地先运抵集散地集中，然后再运往消费地，CBOT基于这种现货贸易流通特点，设计了在芝加哥、圣路易斯和托利多等大豆、玉米集散地设置交割仓库的交割制度。但是90年代以后，美国油脂、油料的生产和消费格局发生了很大变化，上下游买卖双方点对点贸易兴起，芝加哥等地的集散功能逐渐削弱；运输方式也由铁路为主转向公路和水运，这主要是由于国家放开了对汽运和船运的政策管制，沿河兴建了很多转运站用于存储商品；另外，由于城区扩张使原本在郊区的仓库也纳入城市范围，交通堵塞给仓库交割增加了较大成本。上述贸易方式和市场情况的变化，导致越来越多的商品开始由仓库向农民手中和沿河转运站转移，在市场中或沿河转运站间流动的货物要远远多于在仓库中存储的量。在这种情况下，CBOT修改原交割制度，使其与现货贸易流通趋于一致就成为必要。基于以上原因，CBOT按照CFTC的要求，着手修改交割制度。交割地点从以芝加哥为中心的仓库转向依利诺依河部分流域的转运站，交割凭证从以前的定点仓库出具的以实物为依据的仓单，改为以转运站出具的基于转运站装运率的装运凭证。</w:t>
            </w:r>
            <w:r w:rsidRPr="00931138">
              <w:rPr>
                <w:rFonts w:ascii="微软雅黑" w:eastAsia="微软雅黑" w:hAnsi="微软雅黑" w:cs="宋体" w:hint="eastAsia"/>
                <w:color w:val="5C5C5C"/>
                <w:kern w:val="0"/>
                <w:szCs w:val="21"/>
              </w:rPr>
              <w:br/>
              <w:t xml:space="preserve">　　2.点对点贸易方式和解决豆</w:t>
            </w:r>
            <w:proofErr w:type="gramStart"/>
            <w:r w:rsidRPr="00931138">
              <w:rPr>
                <w:rFonts w:ascii="微软雅黑" w:eastAsia="微软雅黑" w:hAnsi="微软雅黑" w:cs="宋体" w:hint="eastAsia"/>
                <w:color w:val="5C5C5C"/>
                <w:kern w:val="0"/>
                <w:szCs w:val="21"/>
              </w:rPr>
              <w:t>粕</w:t>
            </w:r>
            <w:proofErr w:type="gramEnd"/>
            <w:r w:rsidRPr="00931138">
              <w:rPr>
                <w:rFonts w:ascii="微软雅黑" w:eastAsia="微软雅黑" w:hAnsi="微软雅黑" w:cs="宋体" w:hint="eastAsia"/>
                <w:color w:val="5C5C5C"/>
                <w:kern w:val="0"/>
                <w:szCs w:val="21"/>
              </w:rPr>
              <w:t>品质问题是我国实施厂库制度的主要原因</w:t>
            </w:r>
            <w:r w:rsidRPr="00931138">
              <w:rPr>
                <w:rFonts w:ascii="微软雅黑" w:eastAsia="微软雅黑" w:hAnsi="微软雅黑" w:cs="宋体" w:hint="eastAsia"/>
                <w:color w:val="5C5C5C"/>
                <w:kern w:val="0"/>
                <w:szCs w:val="21"/>
              </w:rPr>
              <w:br/>
              <w:t xml:space="preserve">　　豆</w:t>
            </w:r>
            <w:proofErr w:type="gramStart"/>
            <w:r w:rsidRPr="00931138">
              <w:rPr>
                <w:rFonts w:ascii="微软雅黑" w:eastAsia="微软雅黑" w:hAnsi="微软雅黑" w:cs="宋体" w:hint="eastAsia"/>
                <w:color w:val="5C5C5C"/>
                <w:kern w:val="0"/>
                <w:szCs w:val="21"/>
              </w:rPr>
              <w:t>粕</w:t>
            </w:r>
            <w:proofErr w:type="gramEnd"/>
            <w:r w:rsidRPr="00931138">
              <w:rPr>
                <w:rFonts w:ascii="微软雅黑" w:eastAsia="微软雅黑" w:hAnsi="微软雅黑" w:cs="宋体" w:hint="eastAsia"/>
                <w:color w:val="5C5C5C"/>
                <w:kern w:val="0"/>
                <w:szCs w:val="21"/>
              </w:rPr>
              <w:t>是我国最早实行厂库交割制度的品种，该品种自2000年7月在大连期货市场上市后到2004年6月，一直采用仓库交割方式。但是，大连商品交易所在服务产业过程中发现，在仓库交割制度下，豆</w:t>
            </w:r>
            <w:proofErr w:type="gramStart"/>
            <w:r w:rsidRPr="00931138">
              <w:rPr>
                <w:rFonts w:ascii="微软雅黑" w:eastAsia="微软雅黑" w:hAnsi="微软雅黑" w:cs="宋体" w:hint="eastAsia"/>
                <w:color w:val="5C5C5C"/>
                <w:kern w:val="0"/>
                <w:szCs w:val="21"/>
              </w:rPr>
              <w:t>粕</w:t>
            </w:r>
            <w:proofErr w:type="gramEnd"/>
            <w:r w:rsidRPr="00931138">
              <w:rPr>
                <w:rFonts w:ascii="微软雅黑" w:eastAsia="微软雅黑" w:hAnsi="微软雅黑" w:cs="宋体" w:hint="eastAsia"/>
                <w:color w:val="5C5C5C"/>
                <w:kern w:val="0"/>
                <w:szCs w:val="21"/>
              </w:rPr>
              <w:t>品种存在两个问题：一是交割成本过高，现货贸易中豆</w:t>
            </w:r>
            <w:proofErr w:type="gramStart"/>
            <w:r w:rsidRPr="00931138">
              <w:rPr>
                <w:rFonts w:ascii="微软雅黑" w:eastAsia="微软雅黑" w:hAnsi="微软雅黑" w:cs="宋体" w:hint="eastAsia"/>
                <w:color w:val="5C5C5C"/>
                <w:kern w:val="0"/>
                <w:szCs w:val="21"/>
              </w:rPr>
              <w:t>粕</w:t>
            </w:r>
            <w:proofErr w:type="gramEnd"/>
            <w:r w:rsidRPr="00931138">
              <w:rPr>
                <w:rFonts w:ascii="微软雅黑" w:eastAsia="微软雅黑" w:hAnsi="微软雅黑" w:cs="宋体" w:hint="eastAsia"/>
                <w:color w:val="5C5C5C"/>
                <w:kern w:val="0"/>
                <w:szCs w:val="21"/>
              </w:rPr>
              <w:t>多以点对点贸易为主，现货商参与期货交割时，需付出额外的运费、检验费等成本才能形成仓单、注</w:t>
            </w:r>
            <w:r w:rsidRPr="00931138">
              <w:rPr>
                <w:rFonts w:ascii="微软雅黑" w:eastAsia="微软雅黑" w:hAnsi="微软雅黑" w:cs="宋体" w:hint="eastAsia"/>
                <w:color w:val="5C5C5C"/>
                <w:kern w:val="0"/>
                <w:szCs w:val="21"/>
              </w:rPr>
              <w:lastRenderedPageBreak/>
              <w:t>销出库；二是无法满足客户对交割豆</w:t>
            </w:r>
            <w:proofErr w:type="gramStart"/>
            <w:r w:rsidRPr="00931138">
              <w:rPr>
                <w:rFonts w:ascii="微软雅黑" w:eastAsia="微软雅黑" w:hAnsi="微软雅黑" w:cs="宋体" w:hint="eastAsia"/>
                <w:color w:val="5C5C5C"/>
                <w:kern w:val="0"/>
                <w:szCs w:val="21"/>
              </w:rPr>
              <w:t>粕</w:t>
            </w:r>
            <w:proofErr w:type="gramEnd"/>
            <w:r w:rsidRPr="00931138">
              <w:rPr>
                <w:rFonts w:ascii="微软雅黑" w:eastAsia="微软雅黑" w:hAnsi="微软雅黑" w:cs="宋体" w:hint="eastAsia"/>
                <w:color w:val="5C5C5C"/>
                <w:kern w:val="0"/>
                <w:szCs w:val="21"/>
              </w:rPr>
              <w:t>的品质要求，现货中饲料企业对豆</w:t>
            </w:r>
            <w:proofErr w:type="gramStart"/>
            <w:r w:rsidRPr="00931138">
              <w:rPr>
                <w:rFonts w:ascii="微软雅黑" w:eastAsia="微软雅黑" w:hAnsi="微软雅黑" w:cs="宋体" w:hint="eastAsia"/>
                <w:color w:val="5C5C5C"/>
                <w:kern w:val="0"/>
                <w:szCs w:val="21"/>
              </w:rPr>
              <w:t>粕</w:t>
            </w:r>
            <w:proofErr w:type="gramEnd"/>
            <w:r w:rsidRPr="00931138">
              <w:rPr>
                <w:rFonts w:ascii="微软雅黑" w:eastAsia="微软雅黑" w:hAnsi="微软雅黑" w:cs="宋体" w:hint="eastAsia"/>
                <w:color w:val="5C5C5C"/>
                <w:kern w:val="0"/>
                <w:szCs w:val="21"/>
              </w:rPr>
              <w:t>的新鲜度、色泽等质量要求很高，经过仓库存储后交割的豆</w:t>
            </w:r>
            <w:proofErr w:type="gramStart"/>
            <w:r w:rsidRPr="00931138">
              <w:rPr>
                <w:rFonts w:ascii="微软雅黑" w:eastAsia="微软雅黑" w:hAnsi="微软雅黑" w:cs="宋体" w:hint="eastAsia"/>
                <w:color w:val="5C5C5C"/>
                <w:kern w:val="0"/>
                <w:szCs w:val="21"/>
              </w:rPr>
              <w:t>粕</w:t>
            </w:r>
            <w:proofErr w:type="gramEnd"/>
            <w:r w:rsidRPr="00931138">
              <w:rPr>
                <w:rFonts w:ascii="微软雅黑" w:eastAsia="微软雅黑" w:hAnsi="微软雅黑" w:cs="宋体" w:hint="eastAsia"/>
                <w:color w:val="5C5C5C"/>
                <w:kern w:val="0"/>
                <w:szCs w:val="21"/>
              </w:rPr>
              <w:t>新鲜度下降，色泽变差，这极大地抑制了现货商对期货市场的需求。</w:t>
            </w:r>
            <w:r w:rsidRPr="00931138">
              <w:rPr>
                <w:rFonts w:ascii="微软雅黑" w:eastAsia="微软雅黑" w:hAnsi="微软雅黑" w:cs="宋体" w:hint="eastAsia"/>
                <w:color w:val="5C5C5C"/>
                <w:kern w:val="0"/>
                <w:szCs w:val="21"/>
              </w:rPr>
              <w:br/>
              <w:t xml:space="preserve">　　为了解决上述问题，大商所充分吸收CBOT沿河交割制度对信用仓单的监管经验，根据我国现货市场的情况进行本地化处理。例如，引入银行信用代替财务信用保证；根据油厂的日加工能力对其日发货速度进行限定；对货主提货时间进行刚性约束，代替了CBOT货主与厂库协商的弹性要求；在交易所规定的时间内到厂库提货保证豆</w:t>
            </w:r>
            <w:proofErr w:type="gramStart"/>
            <w:r w:rsidRPr="00931138">
              <w:rPr>
                <w:rFonts w:ascii="微软雅黑" w:eastAsia="微软雅黑" w:hAnsi="微软雅黑" w:cs="宋体" w:hint="eastAsia"/>
                <w:color w:val="5C5C5C"/>
                <w:kern w:val="0"/>
                <w:szCs w:val="21"/>
              </w:rPr>
              <w:t>粕</w:t>
            </w:r>
            <w:proofErr w:type="gramEnd"/>
            <w:r w:rsidRPr="00931138">
              <w:rPr>
                <w:rFonts w:ascii="微软雅黑" w:eastAsia="微软雅黑" w:hAnsi="微软雅黑" w:cs="宋体" w:hint="eastAsia"/>
                <w:color w:val="5C5C5C"/>
                <w:kern w:val="0"/>
                <w:szCs w:val="21"/>
              </w:rPr>
              <w:t>质量，超过时间规定则不保证质量，以适应我国的信用现状，等等。</w:t>
            </w:r>
            <w:r w:rsidRPr="00931138">
              <w:rPr>
                <w:rFonts w:ascii="微软雅黑" w:eastAsia="微软雅黑" w:hAnsi="微软雅黑" w:cs="宋体" w:hint="eastAsia"/>
                <w:color w:val="5C5C5C"/>
                <w:kern w:val="0"/>
                <w:szCs w:val="21"/>
              </w:rPr>
              <w:br/>
              <w:t xml:space="preserve">　　</w:t>
            </w:r>
            <w:r w:rsidRPr="00931138">
              <w:rPr>
                <w:rFonts w:ascii="微软雅黑" w:eastAsia="微软雅黑" w:hAnsi="微软雅黑" w:cs="宋体" w:hint="eastAsia"/>
                <w:b/>
                <w:bCs/>
                <w:color w:val="5C5C5C"/>
                <w:kern w:val="0"/>
              </w:rPr>
              <w:t>二、中美沿河交割和厂库交割制度对比</w:t>
            </w:r>
            <w:r w:rsidRPr="00931138">
              <w:rPr>
                <w:rFonts w:ascii="微软雅黑" w:eastAsia="微软雅黑" w:hAnsi="微软雅黑" w:cs="宋体" w:hint="eastAsia"/>
                <w:b/>
                <w:bCs/>
                <w:color w:val="5C5C5C"/>
                <w:kern w:val="0"/>
                <w:szCs w:val="21"/>
              </w:rPr>
              <w:br/>
            </w:r>
            <w:r w:rsidRPr="00931138">
              <w:rPr>
                <w:rFonts w:ascii="微软雅黑" w:eastAsia="微软雅黑" w:hAnsi="微软雅黑" w:cs="宋体" w:hint="eastAsia"/>
                <w:color w:val="5C5C5C"/>
                <w:kern w:val="0"/>
                <w:szCs w:val="21"/>
              </w:rPr>
              <w:t xml:space="preserve">　　无论是美国的沿河交割还是国内的厂库制度，其最大的创新在于交割凭证由原实物仓单改为信用凭证。美国沿河交割制度的交割凭证是由转运站签发的装运凭证，装运凭证持有人可以在指定的转运站装载指定的商品；我国厂库制度是由生产厂家签发厂</w:t>
            </w:r>
            <w:proofErr w:type="gramStart"/>
            <w:r w:rsidRPr="00931138">
              <w:rPr>
                <w:rFonts w:ascii="微软雅黑" w:eastAsia="微软雅黑" w:hAnsi="微软雅黑" w:cs="宋体" w:hint="eastAsia"/>
                <w:color w:val="5C5C5C"/>
                <w:kern w:val="0"/>
                <w:szCs w:val="21"/>
              </w:rPr>
              <w:t>库仓</w:t>
            </w:r>
            <w:proofErr w:type="gramEnd"/>
            <w:r w:rsidRPr="00931138">
              <w:rPr>
                <w:rFonts w:ascii="微软雅黑" w:eastAsia="微软雅黑" w:hAnsi="微软雅黑" w:cs="宋体" w:hint="eastAsia"/>
                <w:color w:val="5C5C5C"/>
                <w:kern w:val="0"/>
                <w:szCs w:val="21"/>
              </w:rPr>
              <w:t>单，买卖双方在厂家门口进</w:t>
            </w:r>
            <w:proofErr w:type="gramStart"/>
            <w:r w:rsidRPr="00931138">
              <w:rPr>
                <w:rFonts w:ascii="微软雅黑" w:eastAsia="微软雅黑" w:hAnsi="微软雅黑" w:cs="宋体" w:hint="eastAsia"/>
                <w:color w:val="5C5C5C"/>
                <w:kern w:val="0"/>
                <w:szCs w:val="21"/>
              </w:rPr>
              <w:t>行货权</w:t>
            </w:r>
            <w:proofErr w:type="gramEnd"/>
            <w:r w:rsidRPr="00931138">
              <w:rPr>
                <w:rFonts w:ascii="微软雅黑" w:eastAsia="微软雅黑" w:hAnsi="微软雅黑" w:cs="宋体" w:hint="eastAsia"/>
                <w:color w:val="5C5C5C"/>
                <w:kern w:val="0"/>
                <w:szCs w:val="21"/>
              </w:rPr>
              <w:t>转移。因此，对信用仓单的监管是信用交割制度实施的核心，CBOT沿河交割和国内厂库制度在信用仓单监管和交割货品质量检验等方面的流程基本一致，两者的不同之处主要有三点：</w:t>
            </w:r>
            <w:r w:rsidRPr="00931138">
              <w:rPr>
                <w:rFonts w:ascii="微软雅黑" w:eastAsia="微软雅黑" w:hAnsi="微软雅黑" w:cs="宋体" w:hint="eastAsia"/>
                <w:color w:val="5C5C5C"/>
                <w:kern w:val="0"/>
                <w:szCs w:val="21"/>
              </w:rPr>
              <w:br/>
              <w:t xml:space="preserve">　　1.在信用仓单签发主体方面，我国缩小了签发范围以严控风险</w:t>
            </w:r>
            <w:r w:rsidRPr="00931138">
              <w:rPr>
                <w:rFonts w:ascii="微软雅黑" w:eastAsia="微软雅黑" w:hAnsi="微软雅黑" w:cs="宋体" w:hint="eastAsia"/>
                <w:color w:val="5C5C5C"/>
                <w:kern w:val="0"/>
                <w:szCs w:val="21"/>
              </w:rPr>
              <w:br/>
              <w:t xml:space="preserve">　　美国豆粕厂库交割制度，签发信用仓单的主体除了具有一定资质的油厂等生产企业外，还包括一些大型贸易商。由于我国现货市场贸易企业一般规模较小，在市场中抵御风险能力较差，为了严控风险，我们只选取那些生产规模大、财务状况好、企业信誉佳的生产企业具有签发厂</w:t>
            </w:r>
            <w:proofErr w:type="gramStart"/>
            <w:r w:rsidRPr="00931138">
              <w:rPr>
                <w:rFonts w:ascii="微软雅黑" w:eastAsia="微软雅黑" w:hAnsi="微软雅黑" w:cs="宋体" w:hint="eastAsia"/>
                <w:color w:val="5C5C5C"/>
                <w:kern w:val="0"/>
                <w:szCs w:val="21"/>
              </w:rPr>
              <w:t>库仓</w:t>
            </w:r>
            <w:proofErr w:type="gramEnd"/>
            <w:r w:rsidRPr="00931138">
              <w:rPr>
                <w:rFonts w:ascii="微软雅黑" w:eastAsia="微软雅黑" w:hAnsi="微软雅黑" w:cs="宋体" w:hint="eastAsia"/>
                <w:color w:val="5C5C5C"/>
                <w:kern w:val="0"/>
                <w:szCs w:val="21"/>
              </w:rPr>
              <w:t>单的资格。</w:t>
            </w:r>
            <w:r w:rsidRPr="00931138">
              <w:rPr>
                <w:rFonts w:ascii="微软雅黑" w:eastAsia="微软雅黑" w:hAnsi="微软雅黑" w:cs="宋体" w:hint="eastAsia"/>
                <w:color w:val="5C5C5C"/>
                <w:kern w:val="0"/>
                <w:szCs w:val="21"/>
              </w:rPr>
              <w:br/>
              <w:t xml:space="preserve">　　2.在厂</w:t>
            </w:r>
            <w:proofErr w:type="gramStart"/>
            <w:r w:rsidRPr="00931138">
              <w:rPr>
                <w:rFonts w:ascii="微软雅黑" w:eastAsia="微软雅黑" w:hAnsi="微软雅黑" w:cs="宋体" w:hint="eastAsia"/>
                <w:color w:val="5C5C5C"/>
                <w:kern w:val="0"/>
                <w:szCs w:val="21"/>
              </w:rPr>
              <w:t>库仓</w:t>
            </w:r>
            <w:proofErr w:type="gramEnd"/>
            <w:r w:rsidRPr="00931138">
              <w:rPr>
                <w:rFonts w:ascii="微软雅黑" w:eastAsia="微软雅黑" w:hAnsi="微软雅黑" w:cs="宋体" w:hint="eastAsia"/>
                <w:color w:val="5C5C5C"/>
                <w:kern w:val="0"/>
                <w:szCs w:val="21"/>
              </w:rPr>
              <w:t>单签发时，我国引入银行信用代替财务信用保证，将信用风险几乎降为零</w:t>
            </w:r>
            <w:r w:rsidRPr="00931138">
              <w:rPr>
                <w:rFonts w:ascii="微软雅黑" w:eastAsia="微软雅黑" w:hAnsi="微软雅黑" w:cs="宋体" w:hint="eastAsia"/>
                <w:color w:val="5C5C5C"/>
                <w:kern w:val="0"/>
                <w:szCs w:val="21"/>
              </w:rPr>
              <w:br/>
            </w:r>
            <w:r w:rsidRPr="00931138">
              <w:rPr>
                <w:rFonts w:ascii="微软雅黑" w:eastAsia="微软雅黑" w:hAnsi="微软雅黑" w:cs="宋体" w:hint="eastAsia"/>
                <w:color w:val="5C5C5C"/>
                <w:kern w:val="0"/>
                <w:szCs w:val="21"/>
              </w:rPr>
              <w:lastRenderedPageBreak/>
              <w:t xml:space="preserve">　　为了防范信用仓单交割风险，美国厂库制度规定油厂的现金</w:t>
            </w:r>
            <w:proofErr w:type="gramStart"/>
            <w:r w:rsidRPr="00931138">
              <w:rPr>
                <w:rFonts w:ascii="微软雅黑" w:eastAsia="微软雅黑" w:hAnsi="微软雅黑" w:cs="宋体" w:hint="eastAsia"/>
                <w:color w:val="5C5C5C"/>
                <w:kern w:val="0"/>
                <w:szCs w:val="21"/>
              </w:rPr>
              <w:t>流不得</w:t>
            </w:r>
            <w:proofErr w:type="gramEnd"/>
            <w:r w:rsidRPr="00931138">
              <w:rPr>
                <w:rFonts w:ascii="微软雅黑" w:eastAsia="微软雅黑" w:hAnsi="微软雅黑" w:cs="宋体" w:hint="eastAsia"/>
                <w:color w:val="5C5C5C"/>
                <w:kern w:val="0"/>
                <w:szCs w:val="21"/>
              </w:rPr>
              <w:t>低于200万美金，相当于11000吨豆</w:t>
            </w:r>
            <w:proofErr w:type="gramStart"/>
            <w:r w:rsidRPr="00931138">
              <w:rPr>
                <w:rFonts w:ascii="微软雅黑" w:eastAsia="微软雅黑" w:hAnsi="微软雅黑" w:cs="宋体" w:hint="eastAsia"/>
                <w:color w:val="5C5C5C"/>
                <w:kern w:val="0"/>
                <w:szCs w:val="21"/>
              </w:rPr>
              <w:t>粕</w:t>
            </w:r>
            <w:proofErr w:type="gramEnd"/>
            <w:r w:rsidRPr="00931138">
              <w:rPr>
                <w:rFonts w:ascii="微软雅黑" w:eastAsia="微软雅黑" w:hAnsi="微软雅黑" w:cs="宋体" w:hint="eastAsia"/>
                <w:color w:val="5C5C5C"/>
                <w:kern w:val="0"/>
                <w:szCs w:val="21"/>
              </w:rPr>
              <w:t>，低于此标准的油厂，每注册一手仓单须存入5000美元的担保金，相当于仓单价值的28%。我国的厂库制度除了严格考核油厂的财务状况外，任何厂家在签发仓单时必须向交易所缴纳相当于合约价值100%的现金或130%的银行保函，因此，从这个意义上讲，我国厂库制度基本不存在信用风险。</w:t>
            </w:r>
            <w:r w:rsidRPr="00931138">
              <w:rPr>
                <w:rFonts w:ascii="微软雅黑" w:eastAsia="微软雅黑" w:hAnsi="微软雅黑" w:cs="宋体" w:hint="eastAsia"/>
                <w:color w:val="5C5C5C"/>
                <w:kern w:val="0"/>
                <w:szCs w:val="21"/>
              </w:rPr>
              <w:br/>
              <w:t xml:space="preserve">　　3.在角色定位方面，我国厂库只作为卖方而不作为仓库</w:t>
            </w:r>
            <w:r w:rsidRPr="00931138">
              <w:rPr>
                <w:rFonts w:ascii="微软雅黑" w:eastAsia="微软雅黑" w:hAnsi="微软雅黑" w:cs="宋体" w:hint="eastAsia"/>
                <w:color w:val="5C5C5C"/>
                <w:kern w:val="0"/>
                <w:szCs w:val="21"/>
              </w:rPr>
              <w:br/>
              <w:t xml:space="preserve">　　在我国目前的厂库交割制度下，由于要求厂库对仓单实行100%现金担保，同时在签发仓单时厂库也面临一定的不确定性风险，如签发仓单和出库时货品价格不一致的风险，因此，厂库通常只对自产的产品签发仓单。从这个意义上讲，其角色只是作为卖方，而在美国沿河交割制度下，转运站可以为任何卖方签发装运凭证。</w:t>
            </w:r>
            <w:r w:rsidRPr="00931138">
              <w:rPr>
                <w:rFonts w:ascii="微软雅黑" w:eastAsia="微软雅黑" w:hAnsi="微软雅黑" w:cs="宋体" w:hint="eastAsia"/>
                <w:color w:val="5C5C5C"/>
                <w:kern w:val="0"/>
                <w:szCs w:val="21"/>
              </w:rPr>
              <w:br/>
              <w:t xml:space="preserve">　　</w:t>
            </w:r>
            <w:r w:rsidRPr="00931138">
              <w:rPr>
                <w:rFonts w:ascii="微软雅黑" w:eastAsia="微软雅黑" w:hAnsi="微软雅黑" w:cs="宋体" w:hint="eastAsia"/>
                <w:b/>
                <w:bCs/>
                <w:color w:val="5C5C5C"/>
                <w:kern w:val="0"/>
              </w:rPr>
              <w:t>三、厂库交割制度的要点及买卖双方利益平衡分析</w:t>
            </w:r>
            <w:r w:rsidRPr="00931138">
              <w:rPr>
                <w:rFonts w:ascii="微软雅黑" w:eastAsia="微软雅黑" w:hAnsi="微软雅黑" w:cs="宋体" w:hint="eastAsia"/>
                <w:b/>
                <w:bCs/>
                <w:color w:val="5C5C5C"/>
                <w:kern w:val="0"/>
                <w:szCs w:val="21"/>
              </w:rPr>
              <w:br/>
            </w:r>
            <w:r w:rsidRPr="00931138">
              <w:rPr>
                <w:rFonts w:ascii="微软雅黑" w:eastAsia="微软雅黑" w:hAnsi="微软雅黑" w:cs="宋体" w:hint="eastAsia"/>
                <w:color w:val="5C5C5C"/>
                <w:kern w:val="0"/>
                <w:szCs w:val="21"/>
              </w:rPr>
              <w:t xml:space="preserve">　　1.厂库制度要点</w:t>
            </w:r>
            <w:r w:rsidRPr="00931138">
              <w:rPr>
                <w:rFonts w:ascii="微软雅黑" w:eastAsia="微软雅黑" w:hAnsi="微软雅黑" w:cs="宋体" w:hint="eastAsia"/>
                <w:color w:val="5C5C5C"/>
                <w:kern w:val="0"/>
                <w:szCs w:val="21"/>
              </w:rPr>
              <w:br/>
              <w:t xml:space="preserve">　　厂库制度与仓库制度的本质区别在于没有仓库作为中间方代替交易所验收货物和收发商品的职能，在最后的交割环节买卖双方直接见面，所以，严格规范双方在不同情况下的责权利是厂库制度的要点。</w:t>
            </w:r>
            <w:r w:rsidRPr="00931138">
              <w:rPr>
                <w:rFonts w:ascii="微软雅黑" w:eastAsia="微软雅黑" w:hAnsi="微软雅黑" w:cs="宋体" w:hint="eastAsia"/>
                <w:color w:val="5C5C5C"/>
                <w:kern w:val="0"/>
                <w:szCs w:val="21"/>
              </w:rPr>
              <w:br/>
              <w:t xml:space="preserve">　　（1）通过最大仓单注册量限制厂库恶意注册仓单</w:t>
            </w:r>
            <w:r w:rsidRPr="00931138">
              <w:rPr>
                <w:rFonts w:ascii="微软雅黑" w:eastAsia="微软雅黑" w:hAnsi="微软雅黑" w:cs="宋体" w:hint="eastAsia"/>
                <w:color w:val="5C5C5C"/>
                <w:kern w:val="0"/>
                <w:szCs w:val="21"/>
              </w:rPr>
              <w:br/>
              <w:t xml:space="preserve">　　作为厂库的卖方具有随时签发仓单的便利，为了防止厂家利用期货市场牟取不当利益，交易所对其提出最大仓单注册量的规定，交易所根据厂库的日加工能力、日常库存状况以及日装运能力等条件进行核定。</w:t>
            </w:r>
            <w:r w:rsidRPr="00931138">
              <w:rPr>
                <w:rFonts w:ascii="微软雅黑" w:eastAsia="微软雅黑" w:hAnsi="微软雅黑" w:cs="宋体" w:hint="eastAsia"/>
                <w:color w:val="5C5C5C"/>
                <w:kern w:val="0"/>
                <w:szCs w:val="21"/>
              </w:rPr>
              <w:br/>
              <w:t xml:space="preserve">　　（2）通过出库速度限制厂库在价格不利情况下恶意拖延出库</w:t>
            </w:r>
            <w:r w:rsidRPr="00931138">
              <w:rPr>
                <w:rFonts w:ascii="微软雅黑" w:eastAsia="微软雅黑" w:hAnsi="微软雅黑" w:cs="宋体" w:hint="eastAsia"/>
                <w:color w:val="5C5C5C"/>
                <w:kern w:val="0"/>
                <w:szCs w:val="21"/>
              </w:rPr>
              <w:br/>
              <w:t xml:space="preserve">　　由于厂</w:t>
            </w:r>
            <w:proofErr w:type="gramStart"/>
            <w:r w:rsidRPr="00931138">
              <w:rPr>
                <w:rFonts w:ascii="微软雅黑" w:eastAsia="微软雅黑" w:hAnsi="微软雅黑" w:cs="宋体" w:hint="eastAsia"/>
                <w:color w:val="5C5C5C"/>
                <w:kern w:val="0"/>
                <w:szCs w:val="21"/>
              </w:rPr>
              <w:t>库仓单实际</w:t>
            </w:r>
            <w:proofErr w:type="gramEnd"/>
            <w:r w:rsidRPr="00931138">
              <w:rPr>
                <w:rFonts w:ascii="微软雅黑" w:eastAsia="微软雅黑" w:hAnsi="微软雅黑" w:cs="宋体" w:hint="eastAsia"/>
                <w:color w:val="5C5C5C"/>
                <w:kern w:val="0"/>
                <w:szCs w:val="21"/>
              </w:rPr>
              <w:t>是一种信用仓单，交易所给厂库留出了3天的备货期和15天的发货</w:t>
            </w:r>
            <w:r w:rsidRPr="00931138">
              <w:rPr>
                <w:rFonts w:ascii="微软雅黑" w:eastAsia="微软雅黑" w:hAnsi="微软雅黑" w:cs="宋体" w:hint="eastAsia"/>
                <w:color w:val="5C5C5C"/>
                <w:kern w:val="0"/>
                <w:szCs w:val="21"/>
              </w:rPr>
              <w:lastRenderedPageBreak/>
              <w:t>期。厂库签发仓单时间和买方要求出库时价格可能不一样，当价格处于上涨通道时，厂库具有放慢发货的意愿，当价格处于下跌通道时，厂库可能具有加速出库的意愿。为了防止类似情况发生，交易所对厂库规定了日出</w:t>
            </w:r>
            <w:proofErr w:type="gramStart"/>
            <w:r w:rsidRPr="00931138">
              <w:rPr>
                <w:rFonts w:ascii="微软雅黑" w:eastAsia="微软雅黑" w:hAnsi="微软雅黑" w:cs="宋体" w:hint="eastAsia"/>
                <w:color w:val="5C5C5C"/>
                <w:kern w:val="0"/>
                <w:szCs w:val="21"/>
              </w:rPr>
              <w:t>库速度</w:t>
            </w:r>
            <w:proofErr w:type="gramEnd"/>
            <w:r w:rsidRPr="00931138">
              <w:rPr>
                <w:rFonts w:ascii="微软雅黑" w:eastAsia="微软雅黑" w:hAnsi="微软雅黑" w:cs="宋体" w:hint="eastAsia"/>
                <w:color w:val="5C5C5C"/>
                <w:kern w:val="0"/>
                <w:szCs w:val="21"/>
              </w:rPr>
              <w:t>的概念，如厂库不按最低发货速度发货，即使在规定的发货期内全部完成发货任务，仍被认定为违约，需向买方缴纳相应的滞纳金。目前，大商所规定的出库速度依据工厂日加工能力的1/3为上限。</w:t>
            </w:r>
            <w:r w:rsidRPr="00931138">
              <w:rPr>
                <w:rFonts w:ascii="微软雅黑" w:eastAsia="微软雅黑" w:hAnsi="微软雅黑" w:cs="宋体" w:hint="eastAsia"/>
                <w:color w:val="5C5C5C"/>
                <w:kern w:val="0"/>
                <w:szCs w:val="21"/>
              </w:rPr>
              <w:br/>
              <w:t xml:space="preserve">　　（3）通过对买方接货能力和责任的规定以保证货物正常顺畅出库</w:t>
            </w:r>
            <w:r w:rsidRPr="00931138">
              <w:rPr>
                <w:rFonts w:ascii="微软雅黑" w:eastAsia="微软雅黑" w:hAnsi="微软雅黑" w:cs="宋体" w:hint="eastAsia"/>
                <w:color w:val="5C5C5C"/>
                <w:kern w:val="0"/>
                <w:szCs w:val="21"/>
              </w:rPr>
              <w:br/>
              <w:t xml:space="preserve">　　买方拿到仓单之后，在仓单有效期内随时可向厂库提出提货要求；同样，在对其不利的价格形势下或其他情况下，买方仍然可能具有消极接货的倾向。因此，交易所在对卖方进行最低发货速度前提下，对买方的接货速度也进行了相应规定，如卖方按发货速度正常发货，由于买方原因无法将货物及时运出时，买方同样算违约，需向卖方缴纳一定的滞纳金。</w:t>
            </w:r>
            <w:r w:rsidRPr="00931138">
              <w:rPr>
                <w:rFonts w:ascii="微软雅黑" w:eastAsia="微软雅黑" w:hAnsi="微软雅黑" w:cs="宋体" w:hint="eastAsia"/>
                <w:color w:val="5C5C5C"/>
                <w:kern w:val="0"/>
                <w:szCs w:val="21"/>
              </w:rPr>
              <w:br/>
              <w:t xml:space="preserve">　　（4）厂库制度下交割商品品质的认定</w:t>
            </w:r>
            <w:r w:rsidRPr="00931138">
              <w:rPr>
                <w:rFonts w:ascii="微软雅黑" w:eastAsia="微软雅黑" w:hAnsi="微软雅黑" w:cs="宋体" w:hint="eastAsia"/>
                <w:color w:val="5C5C5C"/>
                <w:kern w:val="0"/>
                <w:szCs w:val="21"/>
              </w:rPr>
              <w:br/>
              <w:t xml:space="preserve">　　厂库交割实行的是事后检验制度，即由厂库向买方提供交割商品的质检证明，并在出库时双方在场抽样、封存，厂库对留样在产品异议期内负有保管责任，如豆</w:t>
            </w:r>
            <w:proofErr w:type="gramStart"/>
            <w:r w:rsidRPr="00931138">
              <w:rPr>
                <w:rFonts w:ascii="微软雅黑" w:eastAsia="微软雅黑" w:hAnsi="微软雅黑" w:cs="宋体" w:hint="eastAsia"/>
                <w:color w:val="5C5C5C"/>
                <w:kern w:val="0"/>
                <w:szCs w:val="21"/>
              </w:rPr>
              <w:t>粕</w:t>
            </w:r>
            <w:proofErr w:type="gramEnd"/>
            <w:r w:rsidRPr="00931138">
              <w:rPr>
                <w:rFonts w:ascii="微软雅黑" w:eastAsia="微软雅黑" w:hAnsi="微软雅黑" w:cs="宋体" w:hint="eastAsia"/>
                <w:color w:val="5C5C5C"/>
                <w:kern w:val="0"/>
                <w:szCs w:val="21"/>
              </w:rPr>
              <w:t>、豆油厂库要保存留样30个自然日，棕榈油为10天。</w:t>
            </w:r>
            <w:r w:rsidRPr="00931138">
              <w:rPr>
                <w:rFonts w:ascii="微软雅黑" w:eastAsia="微软雅黑" w:hAnsi="微软雅黑" w:cs="宋体" w:hint="eastAsia"/>
                <w:color w:val="5C5C5C"/>
                <w:kern w:val="0"/>
                <w:szCs w:val="21"/>
              </w:rPr>
              <w:br/>
              <w:t xml:space="preserve">　　2.厂库制度下买卖双方利益平衡分析</w:t>
            </w:r>
            <w:r w:rsidRPr="00931138">
              <w:rPr>
                <w:rFonts w:ascii="微软雅黑" w:eastAsia="微软雅黑" w:hAnsi="微软雅黑" w:cs="宋体" w:hint="eastAsia"/>
                <w:color w:val="5C5C5C"/>
                <w:kern w:val="0"/>
                <w:szCs w:val="21"/>
              </w:rPr>
              <w:br/>
              <w:t xml:space="preserve">　　在厂库交割制度下，厂库在商品还未加工时就可以签发仓单，由于仓单存在一定的有效期，交割行为发生时买方钱款已经划转给厂库但可能</w:t>
            </w:r>
            <w:proofErr w:type="gramStart"/>
            <w:r w:rsidRPr="00931138">
              <w:rPr>
                <w:rFonts w:ascii="微软雅黑" w:eastAsia="微软雅黑" w:hAnsi="微软雅黑" w:cs="宋体" w:hint="eastAsia"/>
                <w:color w:val="5C5C5C"/>
                <w:kern w:val="0"/>
                <w:szCs w:val="21"/>
              </w:rPr>
              <w:t>不</w:t>
            </w:r>
            <w:proofErr w:type="gramEnd"/>
            <w:r w:rsidRPr="00931138">
              <w:rPr>
                <w:rFonts w:ascii="微软雅黑" w:eastAsia="微软雅黑" w:hAnsi="微软雅黑" w:cs="宋体" w:hint="eastAsia"/>
                <w:color w:val="5C5C5C"/>
                <w:kern w:val="0"/>
                <w:szCs w:val="21"/>
              </w:rPr>
              <w:t>立即提货，这些都给作为厂库的卖方极大便利，而买方似乎无任何收益。因此，厂库交割制度下，买卖双方便利收益的平衡问题一直是市场担忧该制度运行效果的关注点。</w:t>
            </w:r>
            <w:r w:rsidRPr="00931138">
              <w:rPr>
                <w:rFonts w:ascii="微软雅黑" w:eastAsia="微软雅黑" w:hAnsi="微软雅黑" w:cs="宋体" w:hint="eastAsia"/>
                <w:color w:val="5C5C5C"/>
                <w:kern w:val="0"/>
                <w:szCs w:val="21"/>
              </w:rPr>
              <w:br/>
              <w:t xml:space="preserve">　　（1）厂库制度对于厂家来说，实际上是便利和风险共存</w:t>
            </w:r>
            <w:r w:rsidRPr="00931138">
              <w:rPr>
                <w:rFonts w:ascii="微软雅黑" w:eastAsia="微软雅黑" w:hAnsi="微软雅黑" w:cs="宋体" w:hint="eastAsia"/>
                <w:color w:val="5C5C5C"/>
                <w:kern w:val="0"/>
                <w:szCs w:val="21"/>
              </w:rPr>
              <w:br/>
              <w:t xml:space="preserve">　　在厂库交割制度下，厂家无需将货物运抵仓库，货品也无需指定检验机构检验，这在一</w:t>
            </w:r>
            <w:r w:rsidRPr="00931138">
              <w:rPr>
                <w:rFonts w:ascii="微软雅黑" w:eastAsia="微软雅黑" w:hAnsi="微软雅黑" w:cs="宋体" w:hint="eastAsia"/>
                <w:color w:val="5C5C5C"/>
                <w:kern w:val="0"/>
                <w:szCs w:val="21"/>
              </w:rPr>
              <w:lastRenderedPageBreak/>
              <w:t>定程度上确实给厂库提供了相当大的便利，但厂库开具仓单时也面临不确定性因素：一是仓单出库时间不确定，只要这笔仓单不出库，就会占用厂库可供开仓单的数量和厂库缴纳的银行保函或者现金担保；二是未来价格不确定，厂库开具仓单时的价格与出库时价格可能会出现较大偏差，这给厂库带来较大的潜在风险。</w:t>
            </w:r>
            <w:r w:rsidRPr="00931138">
              <w:rPr>
                <w:rFonts w:ascii="微软雅黑" w:eastAsia="微软雅黑" w:hAnsi="微软雅黑" w:cs="宋体" w:hint="eastAsia"/>
                <w:color w:val="5C5C5C"/>
                <w:kern w:val="0"/>
                <w:szCs w:val="21"/>
              </w:rPr>
              <w:br/>
              <w:t xml:space="preserve">　　（2）通过适当增加买方天平上的砝码可以实现买卖双方共赢</w:t>
            </w:r>
            <w:r w:rsidRPr="00931138">
              <w:rPr>
                <w:rFonts w:ascii="微软雅黑" w:eastAsia="微软雅黑" w:hAnsi="微软雅黑" w:cs="宋体" w:hint="eastAsia"/>
                <w:color w:val="5C5C5C"/>
                <w:kern w:val="0"/>
                <w:szCs w:val="21"/>
              </w:rPr>
              <w:br/>
              <w:t xml:space="preserve">　　虽然厂库节约了运费、检验费，而买方仍需承担运费，但通过区别对待厂库、仓库的仓储费，再配合适当的仓单有效期等，可以很好地解决买卖利益平衡问题。在厂库交割制度下，买方客户可以拿到更受市场欢迎的新鲜豆</w:t>
            </w:r>
            <w:proofErr w:type="gramStart"/>
            <w:r w:rsidRPr="00931138">
              <w:rPr>
                <w:rFonts w:ascii="微软雅黑" w:eastAsia="微软雅黑" w:hAnsi="微软雅黑" w:cs="宋体" w:hint="eastAsia"/>
                <w:color w:val="5C5C5C"/>
                <w:kern w:val="0"/>
                <w:szCs w:val="21"/>
              </w:rPr>
              <w:t>粕</w:t>
            </w:r>
            <w:proofErr w:type="gramEnd"/>
            <w:r w:rsidRPr="00931138">
              <w:rPr>
                <w:rFonts w:ascii="微软雅黑" w:eastAsia="微软雅黑" w:hAnsi="微软雅黑" w:cs="宋体" w:hint="eastAsia"/>
                <w:color w:val="5C5C5C"/>
                <w:kern w:val="0"/>
                <w:szCs w:val="21"/>
              </w:rPr>
              <w:t>，适当降低厂</w:t>
            </w:r>
            <w:proofErr w:type="gramStart"/>
            <w:r w:rsidRPr="00931138">
              <w:rPr>
                <w:rFonts w:ascii="微软雅黑" w:eastAsia="微软雅黑" w:hAnsi="微软雅黑" w:cs="宋体" w:hint="eastAsia"/>
                <w:color w:val="5C5C5C"/>
                <w:kern w:val="0"/>
                <w:szCs w:val="21"/>
              </w:rPr>
              <w:t>库仓</w:t>
            </w:r>
            <w:proofErr w:type="gramEnd"/>
            <w:r w:rsidRPr="00931138">
              <w:rPr>
                <w:rFonts w:ascii="微软雅黑" w:eastAsia="微软雅黑" w:hAnsi="微软雅黑" w:cs="宋体" w:hint="eastAsia"/>
                <w:color w:val="5C5C5C"/>
                <w:kern w:val="0"/>
                <w:szCs w:val="21"/>
              </w:rPr>
              <w:t>储费，可以节约买方交割后的仓储成本，适当的仓单有效期又为买方提升了行权的价值收益，节约了买方跨期套利的操作成本。</w:t>
            </w:r>
            <w:r w:rsidRPr="00931138">
              <w:rPr>
                <w:rFonts w:ascii="微软雅黑" w:eastAsia="微软雅黑" w:hAnsi="微软雅黑" w:cs="宋体" w:hint="eastAsia"/>
                <w:color w:val="5C5C5C"/>
                <w:kern w:val="0"/>
                <w:szCs w:val="21"/>
              </w:rPr>
              <w:br/>
              <w:t xml:space="preserve">　　</w:t>
            </w:r>
            <w:r w:rsidRPr="00931138">
              <w:rPr>
                <w:rFonts w:ascii="微软雅黑" w:eastAsia="微软雅黑" w:hAnsi="微软雅黑" w:cs="宋体" w:hint="eastAsia"/>
                <w:b/>
                <w:bCs/>
                <w:color w:val="5C5C5C"/>
                <w:kern w:val="0"/>
              </w:rPr>
              <w:t>四、我国厂库交割制度运行效果分析</w:t>
            </w:r>
            <w:r w:rsidRPr="00931138">
              <w:rPr>
                <w:rFonts w:ascii="微软雅黑" w:eastAsia="微软雅黑" w:hAnsi="微软雅黑" w:cs="宋体" w:hint="eastAsia"/>
                <w:b/>
                <w:bCs/>
                <w:color w:val="5C5C5C"/>
                <w:kern w:val="0"/>
                <w:szCs w:val="21"/>
              </w:rPr>
              <w:br/>
            </w:r>
            <w:r w:rsidRPr="00931138">
              <w:rPr>
                <w:rFonts w:ascii="微软雅黑" w:eastAsia="微软雅黑" w:hAnsi="微软雅黑" w:cs="宋体" w:hint="eastAsia"/>
                <w:color w:val="5C5C5C"/>
                <w:kern w:val="0"/>
                <w:szCs w:val="21"/>
              </w:rPr>
              <w:t xml:space="preserve">　　2004年，大商所自豆</w:t>
            </w:r>
            <w:proofErr w:type="gramStart"/>
            <w:r w:rsidRPr="00931138">
              <w:rPr>
                <w:rFonts w:ascii="微软雅黑" w:eastAsia="微软雅黑" w:hAnsi="微软雅黑" w:cs="宋体" w:hint="eastAsia"/>
                <w:color w:val="5C5C5C"/>
                <w:kern w:val="0"/>
                <w:szCs w:val="21"/>
              </w:rPr>
              <w:t>粕</w:t>
            </w:r>
            <w:proofErr w:type="gramEnd"/>
            <w:r w:rsidRPr="00931138">
              <w:rPr>
                <w:rFonts w:ascii="微软雅黑" w:eastAsia="微软雅黑" w:hAnsi="微软雅黑" w:cs="宋体" w:hint="eastAsia"/>
                <w:color w:val="5C5C5C"/>
                <w:kern w:val="0"/>
                <w:szCs w:val="21"/>
              </w:rPr>
              <w:t>期货407合约开始实行厂库制度，之后经豆油、棕榈油进而推广。自厂库制度实施以来，这些品种交易量稳步增长，市场规模持续扩大，市场运行情况较好。</w:t>
            </w:r>
            <w:r w:rsidRPr="00931138">
              <w:rPr>
                <w:rFonts w:ascii="微软雅黑" w:eastAsia="微软雅黑" w:hAnsi="微软雅黑" w:cs="宋体" w:hint="eastAsia"/>
                <w:color w:val="5C5C5C"/>
                <w:kern w:val="0"/>
                <w:szCs w:val="21"/>
              </w:rPr>
              <w:br/>
              <w:t xml:space="preserve">　　1.交易量、持仓量稳步增加</w:t>
            </w:r>
            <w:r w:rsidRPr="00931138">
              <w:rPr>
                <w:rFonts w:ascii="微软雅黑" w:eastAsia="微软雅黑" w:hAnsi="微软雅黑" w:cs="宋体" w:hint="eastAsia"/>
                <w:color w:val="5C5C5C"/>
                <w:kern w:val="0"/>
                <w:szCs w:val="21"/>
              </w:rPr>
              <w:br/>
              <w:t xml:space="preserve">　　2004年，豆</w:t>
            </w:r>
            <w:proofErr w:type="gramStart"/>
            <w:r w:rsidRPr="00931138">
              <w:rPr>
                <w:rFonts w:ascii="微软雅黑" w:eastAsia="微软雅黑" w:hAnsi="微软雅黑" w:cs="宋体" w:hint="eastAsia"/>
                <w:color w:val="5C5C5C"/>
                <w:kern w:val="0"/>
                <w:szCs w:val="21"/>
              </w:rPr>
              <w:t>粕</w:t>
            </w:r>
            <w:proofErr w:type="gramEnd"/>
            <w:r w:rsidRPr="00931138">
              <w:rPr>
                <w:rFonts w:ascii="微软雅黑" w:eastAsia="微软雅黑" w:hAnsi="微软雅黑" w:cs="宋体" w:hint="eastAsia"/>
                <w:color w:val="5C5C5C"/>
                <w:kern w:val="0"/>
                <w:szCs w:val="21"/>
              </w:rPr>
              <w:t>交易2991万手，2009年达到3亿多手，持仓情况也由2003年的日均持仓16万手增至2009年的70余万手；豆油、棕榈油成交量也逐年增长，分别由上市之初的年成交2067万手、68万手，增至2009年的近2亿手和8885万手。</w:t>
            </w:r>
            <w:r w:rsidRPr="00931138">
              <w:rPr>
                <w:rFonts w:ascii="微软雅黑" w:eastAsia="微软雅黑" w:hAnsi="微软雅黑" w:cs="宋体" w:hint="eastAsia"/>
                <w:color w:val="5C5C5C"/>
                <w:kern w:val="0"/>
                <w:szCs w:val="21"/>
              </w:rPr>
              <w:br/>
              <w:t xml:space="preserve">　　豆</w:t>
            </w:r>
            <w:proofErr w:type="gramStart"/>
            <w:r w:rsidRPr="00931138">
              <w:rPr>
                <w:rFonts w:ascii="微软雅黑" w:eastAsia="微软雅黑" w:hAnsi="微软雅黑" w:cs="宋体" w:hint="eastAsia"/>
                <w:color w:val="5C5C5C"/>
                <w:kern w:val="0"/>
                <w:szCs w:val="21"/>
              </w:rPr>
              <w:t>粕</w:t>
            </w:r>
            <w:proofErr w:type="gramEnd"/>
            <w:r w:rsidRPr="00931138">
              <w:rPr>
                <w:rFonts w:ascii="微软雅黑" w:eastAsia="微软雅黑" w:hAnsi="微软雅黑" w:cs="宋体" w:hint="eastAsia"/>
                <w:color w:val="5C5C5C"/>
                <w:kern w:val="0"/>
                <w:szCs w:val="21"/>
              </w:rPr>
              <w:t>品种逐年日均成交量和持仓量情况（单位：万手）</w:t>
            </w:r>
            <w:r w:rsidRPr="00931138">
              <w:rPr>
                <w:rFonts w:ascii="微软雅黑" w:eastAsia="微软雅黑" w:hAnsi="微软雅黑" w:cs="宋体" w:hint="eastAsia"/>
                <w:color w:val="5C5C5C"/>
                <w:kern w:val="0"/>
                <w:szCs w:val="21"/>
              </w:rPr>
              <w:br/>
            </w:r>
            <w:proofErr w:type="gramStart"/>
            <w:r w:rsidRPr="00931138">
              <w:rPr>
                <w:rFonts w:ascii="微软雅黑" w:eastAsia="微软雅黑" w:hAnsi="微软雅黑" w:cs="宋体" w:hint="eastAsia"/>
                <w:color w:val="5C5C5C"/>
                <w:kern w:val="0"/>
                <w:szCs w:val="21"/>
              </w:rPr>
              <w:t xml:space="preserve">　　</w:t>
            </w:r>
            <w:r w:rsidRPr="00931138">
              <w:rPr>
                <w:rFonts w:ascii="微软雅黑" w:eastAsia="微软雅黑" w:hAnsi="微软雅黑" w:cs="宋体" w:hint="eastAsia"/>
                <w:color w:val="5C5C5C"/>
                <w:kern w:val="0"/>
                <w:szCs w:val="21"/>
              </w:rPr>
              <w:br/>
              <w:t xml:space="preserve">　　</w:t>
            </w:r>
            <w:proofErr w:type="gramEnd"/>
            <w:r w:rsidRPr="00931138">
              <w:rPr>
                <w:rFonts w:ascii="微软雅黑" w:eastAsia="微软雅黑" w:hAnsi="微软雅黑" w:cs="宋体" w:hint="eastAsia"/>
                <w:color w:val="5C5C5C"/>
                <w:kern w:val="0"/>
                <w:szCs w:val="21"/>
              </w:rPr>
              <w:br/>
            </w:r>
            <w:r w:rsidRPr="00931138">
              <w:rPr>
                <w:rFonts w:ascii="微软雅黑" w:eastAsia="微软雅黑" w:hAnsi="微软雅黑" w:cs="宋体" w:hint="eastAsia"/>
                <w:color w:val="5C5C5C"/>
                <w:kern w:val="0"/>
                <w:szCs w:val="21"/>
              </w:rPr>
              <w:lastRenderedPageBreak/>
              <w:t xml:space="preserve">　　 </w:t>
            </w:r>
            <w:r>
              <w:rPr>
                <w:rFonts w:ascii="微软雅黑" w:eastAsia="微软雅黑" w:hAnsi="微软雅黑" w:cs="宋体"/>
                <w:noProof/>
                <w:color w:val="5C5C5C"/>
                <w:kern w:val="0"/>
                <w:szCs w:val="21"/>
              </w:rPr>
              <w:drawing>
                <wp:inline distT="0" distB="0" distL="0" distR="0">
                  <wp:extent cx="5057775" cy="2847975"/>
                  <wp:effectExtent l="19050" t="0" r="9525" b="0"/>
                  <wp:docPr id="2" name="图片 2" descr="http://www.cfachina.org/data/upload/remote/20101210/08403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fachina.org/data/upload/remote/20101210/0840320.JPG"/>
                          <pic:cNvPicPr>
                            <a:picLocks noChangeAspect="1" noChangeArrowheads="1"/>
                          </pic:cNvPicPr>
                        </pic:nvPicPr>
                        <pic:blipFill>
                          <a:blip r:embed="rId11"/>
                          <a:srcRect/>
                          <a:stretch>
                            <a:fillRect/>
                          </a:stretch>
                        </pic:blipFill>
                        <pic:spPr bwMode="auto">
                          <a:xfrm>
                            <a:off x="0" y="0"/>
                            <a:ext cx="5057775" cy="2847975"/>
                          </a:xfrm>
                          <a:prstGeom prst="rect">
                            <a:avLst/>
                          </a:prstGeom>
                          <a:noFill/>
                          <a:ln w="9525">
                            <a:noFill/>
                            <a:miter lim="800000"/>
                            <a:headEnd/>
                            <a:tailEnd/>
                          </a:ln>
                        </pic:spPr>
                      </pic:pic>
                    </a:graphicData>
                  </a:graphic>
                </wp:inline>
              </w:drawing>
            </w:r>
            <w:proofErr w:type="gramStart"/>
            <w:r w:rsidRPr="00931138">
              <w:rPr>
                <w:rFonts w:ascii="微软雅黑" w:eastAsia="微软雅黑" w:hAnsi="微软雅黑" w:cs="宋体" w:hint="eastAsia"/>
                <w:color w:val="5C5C5C"/>
                <w:kern w:val="0"/>
                <w:szCs w:val="21"/>
              </w:rPr>
              <w:t xml:space="preserve">　　</w:t>
            </w:r>
            <w:r w:rsidRPr="00931138">
              <w:rPr>
                <w:rFonts w:ascii="微软雅黑" w:eastAsia="微软雅黑" w:hAnsi="微软雅黑" w:cs="宋体" w:hint="eastAsia"/>
                <w:color w:val="5C5C5C"/>
                <w:kern w:val="0"/>
                <w:szCs w:val="21"/>
              </w:rPr>
              <w:br/>
              <w:t xml:space="preserve">　　</w:t>
            </w:r>
            <w:proofErr w:type="gramEnd"/>
            <w:r w:rsidRPr="00931138">
              <w:rPr>
                <w:rFonts w:ascii="微软雅黑" w:eastAsia="微软雅黑" w:hAnsi="微软雅黑" w:cs="宋体" w:hint="eastAsia"/>
                <w:color w:val="5C5C5C"/>
                <w:kern w:val="0"/>
                <w:szCs w:val="21"/>
              </w:rPr>
              <w:br/>
            </w:r>
            <w:proofErr w:type="gramStart"/>
            <w:r w:rsidRPr="00931138">
              <w:rPr>
                <w:rFonts w:ascii="微软雅黑" w:eastAsia="微软雅黑" w:hAnsi="微软雅黑" w:cs="宋体" w:hint="eastAsia"/>
                <w:color w:val="5C5C5C"/>
                <w:kern w:val="0"/>
                <w:szCs w:val="21"/>
              </w:rPr>
              <w:t xml:space="preserve">　　</w:t>
            </w:r>
            <w:r w:rsidRPr="00931138">
              <w:rPr>
                <w:rFonts w:ascii="微软雅黑" w:eastAsia="微软雅黑" w:hAnsi="微软雅黑" w:cs="宋体" w:hint="eastAsia"/>
                <w:color w:val="5C5C5C"/>
                <w:kern w:val="0"/>
                <w:szCs w:val="21"/>
              </w:rPr>
              <w:br/>
              <w:t xml:space="preserve">　　</w:t>
            </w:r>
            <w:proofErr w:type="gramEnd"/>
            <w:r w:rsidRPr="00931138">
              <w:rPr>
                <w:rFonts w:ascii="微软雅黑" w:eastAsia="微软雅黑" w:hAnsi="微软雅黑" w:cs="宋体" w:hint="eastAsia"/>
                <w:color w:val="5C5C5C"/>
                <w:kern w:val="0"/>
                <w:szCs w:val="21"/>
              </w:rPr>
              <w:t>厂库交割实施以来品种历年交易情况（单位：万手）</w:t>
            </w:r>
            <w:r w:rsidRPr="00931138">
              <w:rPr>
                <w:rFonts w:ascii="微软雅黑" w:eastAsia="微软雅黑" w:hAnsi="微软雅黑" w:cs="宋体" w:hint="eastAsia"/>
                <w:color w:val="5C5C5C"/>
                <w:kern w:val="0"/>
                <w:szCs w:val="21"/>
              </w:rPr>
              <w:br/>
            </w:r>
            <w:proofErr w:type="gramStart"/>
            <w:r w:rsidRPr="00931138">
              <w:rPr>
                <w:rFonts w:ascii="微软雅黑" w:eastAsia="微软雅黑" w:hAnsi="微软雅黑" w:cs="宋体" w:hint="eastAsia"/>
                <w:color w:val="5C5C5C"/>
                <w:kern w:val="0"/>
                <w:szCs w:val="21"/>
              </w:rPr>
              <w:t xml:space="preserve">　　</w:t>
            </w:r>
            <w:r w:rsidRPr="00931138">
              <w:rPr>
                <w:rFonts w:ascii="微软雅黑" w:eastAsia="微软雅黑" w:hAnsi="微软雅黑" w:cs="宋体" w:hint="eastAsia"/>
                <w:color w:val="5C5C5C"/>
                <w:kern w:val="0"/>
                <w:szCs w:val="21"/>
              </w:rPr>
              <w:br/>
              <w:t xml:space="preserve">　　</w:t>
            </w:r>
            <w:proofErr w:type="gramEnd"/>
            <w:r w:rsidRPr="00931138">
              <w:rPr>
                <w:rFonts w:ascii="微软雅黑" w:eastAsia="微软雅黑" w:hAnsi="微软雅黑" w:cs="宋体" w:hint="eastAsia"/>
                <w:color w:val="5C5C5C"/>
                <w:kern w:val="0"/>
                <w:szCs w:val="21"/>
              </w:rPr>
              <w:br/>
            </w:r>
            <w:proofErr w:type="gramStart"/>
            <w:r w:rsidRPr="00931138">
              <w:rPr>
                <w:rFonts w:ascii="微软雅黑" w:eastAsia="微软雅黑" w:hAnsi="微软雅黑" w:cs="宋体" w:hint="eastAsia"/>
                <w:color w:val="5C5C5C"/>
                <w:kern w:val="0"/>
                <w:szCs w:val="21"/>
              </w:rPr>
              <w:t xml:space="preserve">　　</w:t>
            </w:r>
            <w:r w:rsidRPr="00931138">
              <w:rPr>
                <w:rFonts w:ascii="微软雅黑" w:eastAsia="微软雅黑" w:hAnsi="微软雅黑" w:cs="宋体" w:hint="eastAsia"/>
                <w:color w:val="5C5C5C"/>
                <w:kern w:val="0"/>
                <w:szCs w:val="21"/>
              </w:rPr>
              <w:br/>
              <w:t xml:space="preserve">　　</w:t>
            </w:r>
            <w:proofErr w:type="gramEnd"/>
            <w:r w:rsidRPr="00931138">
              <w:rPr>
                <w:rFonts w:ascii="微软雅黑" w:eastAsia="微软雅黑" w:hAnsi="微软雅黑" w:cs="宋体" w:hint="eastAsia"/>
                <w:color w:val="5C5C5C"/>
                <w:kern w:val="0"/>
                <w:szCs w:val="21"/>
              </w:rPr>
              <w:t xml:space="preserve"> </w:t>
            </w:r>
            <w:r>
              <w:rPr>
                <w:rFonts w:ascii="微软雅黑" w:eastAsia="微软雅黑" w:hAnsi="微软雅黑" w:cs="宋体"/>
                <w:noProof/>
                <w:color w:val="5C5C5C"/>
                <w:kern w:val="0"/>
                <w:szCs w:val="21"/>
              </w:rPr>
              <w:drawing>
                <wp:inline distT="0" distB="0" distL="0" distR="0">
                  <wp:extent cx="4476750" cy="2171700"/>
                  <wp:effectExtent l="19050" t="0" r="0" b="0"/>
                  <wp:docPr id="3" name="图片 3" descr="http://www.cfachina.org/data/upload/remote/20101210/0840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fachina.org/data/upload/remote/20101210/0840321.JPG"/>
                          <pic:cNvPicPr>
                            <a:picLocks noChangeAspect="1" noChangeArrowheads="1"/>
                          </pic:cNvPicPr>
                        </pic:nvPicPr>
                        <pic:blipFill>
                          <a:blip r:embed="rId12"/>
                          <a:srcRect/>
                          <a:stretch>
                            <a:fillRect/>
                          </a:stretch>
                        </pic:blipFill>
                        <pic:spPr bwMode="auto">
                          <a:xfrm>
                            <a:off x="0" y="0"/>
                            <a:ext cx="4476750" cy="2171700"/>
                          </a:xfrm>
                          <a:prstGeom prst="rect">
                            <a:avLst/>
                          </a:prstGeom>
                          <a:noFill/>
                          <a:ln w="9525">
                            <a:noFill/>
                            <a:miter lim="800000"/>
                            <a:headEnd/>
                            <a:tailEnd/>
                          </a:ln>
                        </pic:spPr>
                      </pic:pic>
                    </a:graphicData>
                  </a:graphic>
                </wp:inline>
              </w:drawing>
            </w:r>
            <w:proofErr w:type="gramStart"/>
            <w:r w:rsidRPr="00931138">
              <w:rPr>
                <w:rFonts w:ascii="微软雅黑" w:eastAsia="微软雅黑" w:hAnsi="微软雅黑" w:cs="宋体" w:hint="eastAsia"/>
                <w:color w:val="5C5C5C"/>
                <w:kern w:val="0"/>
                <w:szCs w:val="21"/>
              </w:rPr>
              <w:t xml:space="preserve">　　</w:t>
            </w:r>
            <w:r w:rsidRPr="00931138">
              <w:rPr>
                <w:rFonts w:ascii="微软雅黑" w:eastAsia="微软雅黑" w:hAnsi="微软雅黑" w:cs="宋体" w:hint="eastAsia"/>
                <w:color w:val="5C5C5C"/>
                <w:kern w:val="0"/>
                <w:szCs w:val="21"/>
              </w:rPr>
              <w:br/>
              <w:t xml:space="preserve">　　</w:t>
            </w:r>
            <w:proofErr w:type="gramEnd"/>
            <w:r w:rsidRPr="00931138">
              <w:rPr>
                <w:rFonts w:ascii="微软雅黑" w:eastAsia="微软雅黑" w:hAnsi="微软雅黑" w:cs="宋体" w:hint="eastAsia"/>
                <w:color w:val="5C5C5C"/>
                <w:kern w:val="0"/>
                <w:szCs w:val="21"/>
              </w:rPr>
              <w:br/>
            </w:r>
            <w:r w:rsidRPr="00931138">
              <w:rPr>
                <w:rFonts w:ascii="微软雅黑" w:eastAsia="微软雅黑" w:hAnsi="微软雅黑" w:cs="宋体" w:hint="eastAsia"/>
                <w:color w:val="5C5C5C"/>
                <w:kern w:val="0"/>
                <w:szCs w:val="21"/>
              </w:rPr>
              <w:lastRenderedPageBreak/>
              <w:t xml:space="preserve">　　2.参与交易的客户数及产业客户数增长迅速</w:t>
            </w:r>
            <w:r w:rsidRPr="00931138">
              <w:rPr>
                <w:rFonts w:ascii="微软雅黑" w:eastAsia="微软雅黑" w:hAnsi="微软雅黑" w:cs="宋体" w:hint="eastAsia"/>
                <w:color w:val="5C5C5C"/>
                <w:kern w:val="0"/>
                <w:szCs w:val="21"/>
              </w:rPr>
              <w:br/>
              <w:t xml:space="preserve">　　豆</w:t>
            </w:r>
            <w:proofErr w:type="gramStart"/>
            <w:r w:rsidRPr="00931138">
              <w:rPr>
                <w:rFonts w:ascii="微软雅黑" w:eastAsia="微软雅黑" w:hAnsi="微软雅黑" w:cs="宋体" w:hint="eastAsia"/>
                <w:color w:val="5C5C5C"/>
                <w:kern w:val="0"/>
                <w:szCs w:val="21"/>
              </w:rPr>
              <w:t>粕</w:t>
            </w:r>
            <w:proofErr w:type="gramEnd"/>
            <w:r w:rsidRPr="00931138">
              <w:rPr>
                <w:rFonts w:ascii="微软雅黑" w:eastAsia="微软雅黑" w:hAnsi="微软雅黑" w:cs="宋体" w:hint="eastAsia"/>
                <w:color w:val="5C5C5C"/>
                <w:kern w:val="0"/>
                <w:szCs w:val="21"/>
              </w:rPr>
              <w:t>期货上市之初，参与交易的客户较少，在对豆</w:t>
            </w:r>
            <w:proofErr w:type="gramStart"/>
            <w:r w:rsidRPr="00931138">
              <w:rPr>
                <w:rFonts w:ascii="微软雅黑" w:eastAsia="微软雅黑" w:hAnsi="微软雅黑" w:cs="宋体" w:hint="eastAsia"/>
                <w:color w:val="5C5C5C"/>
                <w:kern w:val="0"/>
                <w:szCs w:val="21"/>
              </w:rPr>
              <w:t>粕</w:t>
            </w:r>
            <w:proofErr w:type="gramEnd"/>
            <w:r w:rsidRPr="00931138">
              <w:rPr>
                <w:rFonts w:ascii="微软雅黑" w:eastAsia="微软雅黑" w:hAnsi="微软雅黑" w:cs="宋体" w:hint="eastAsia"/>
                <w:color w:val="5C5C5C"/>
                <w:kern w:val="0"/>
                <w:szCs w:val="21"/>
              </w:rPr>
              <w:t>期货进行包括厂库交割在内的多项制度调整后，参与交易和交割的客户逐渐增多，2008年全年共计17.4万个客户参与了豆</w:t>
            </w:r>
            <w:proofErr w:type="gramStart"/>
            <w:r w:rsidRPr="00931138">
              <w:rPr>
                <w:rFonts w:ascii="微软雅黑" w:eastAsia="微软雅黑" w:hAnsi="微软雅黑" w:cs="宋体" w:hint="eastAsia"/>
                <w:color w:val="5C5C5C"/>
                <w:kern w:val="0"/>
                <w:szCs w:val="21"/>
              </w:rPr>
              <w:t>粕</w:t>
            </w:r>
            <w:proofErr w:type="gramEnd"/>
            <w:r w:rsidRPr="00931138">
              <w:rPr>
                <w:rFonts w:ascii="微软雅黑" w:eastAsia="微软雅黑" w:hAnsi="微软雅黑" w:cs="宋体" w:hint="eastAsia"/>
                <w:color w:val="5C5C5C"/>
                <w:kern w:val="0"/>
                <w:szCs w:val="21"/>
              </w:rPr>
              <w:t>交易，其中参与豆</w:t>
            </w:r>
            <w:proofErr w:type="gramStart"/>
            <w:r w:rsidRPr="00931138">
              <w:rPr>
                <w:rFonts w:ascii="微软雅黑" w:eastAsia="微软雅黑" w:hAnsi="微软雅黑" w:cs="宋体" w:hint="eastAsia"/>
                <w:color w:val="5C5C5C"/>
                <w:kern w:val="0"/>
                <w:szCs w:val="21"/>
              </w:rPr>
              <w:t>粕</w:t>
            </w:r>
            <w:proofErr w:type="gramEnd"/>
            <w:r w:rsidRPr="00931138">
              <w:rPr>
                <w:rFonts w:ascii="微软雅黑" w:eastAsia="微软雅黑" w:hAnsi="微软雅黑" w:cs="宋体" w:hint="eastAsia"/>
                <w:color w:val="5C5C5C"/>
                <w:kern w:val="0"/>
                <w:szCs w:val="21"/>
              </w:rPr>
              <w:t>交易的产业客户数由最初的154个增至2009年的2855个，法人月均持仓量由2005年的3万手增至2009年的80余万手。豆油期货法人月度持仓也由2007年的5万手增至2009年的近40万手。</w:t>
            </w:r>
            <w:r w:rsidRPr="00931138">
              <w:rPr>
                <w:rFonts w:ascii="微软雅黑" w:eastAsia="微软雅黑" w:hAnsi="微软雅黑" w:cs="宋体" w:hint="eastAsia"/>
                <w:color w:val="5C5C5C"/>
                <w:kern w:val="0"/>
                <w:szCs w:val="21"/>
              </w:rPr>
              <w:br/>
              <w:t xml:space="preserve">　　豆</w:t>
            </w:r>
            <w:proofErr w:type="gramStart"/>
            <w:r w:rsidRPr="00931138">
              <w:rPr>
                <w:rFonts w:ascii="微软雅黑" w:eastAsia="微软雅黑" w:hAnsi="微软雅黑" w:cs="宋体" w:hint="eastAsia"/>
                <w:color w:val="5C5C5C"/>
                <w:kern w:val="0"/>
                <w:szCs w:val="21"/>
              </w:rPr>
              <w:t>粕</w:t>
            </w:r>
            <w:proofErr w:type="gramEnd"/>
            <w:r w:rsidRPr="00931138">
              <w:rPr>
                <w:rFonts w:ascii="微软雅黑" w:eastAsia="微软雅黑" w:hAnsi="微软雅黑" w:cs="宋体" w:hint="eastAsia"/>
                <w:color w:val="5C5C5C"/>
                <w:kern w:val="0"/>
                <w:szCs w:val="21"/>
              </w:rPr>
              <w:t>期货参与交易的法人客户数</w:t>
            </w:r>
            <w:r w:rsidRPr="00931138">
              <w:rPr>
                <w:rFonts w:ascii="微软雅黑" w:eastAsia="微软雅黑" w:hAnsi="微软雅黑" w:cs="宋体" w:hint="eastAsia"/>
                <w:color w:val="5C5C5C"/>
                <w:kern w:val="0"/>
                <w:szCs w:val="21"/>
              </w:rPr>
              <w:br/>
            </w:r>
            <w:proofErr w:type="gramStart"/>
            <w:r w:rsidRPr="00931138">
              <w:rPr>
                <w:rFonts w:ascii="微软雅黑" w:eastAsia="微软雅黑" w:hAnsi="微软雅黑" w:cs="宋体" w:hint="eastAsia"/>
                <w:color w:val="5C5C5C"/>
                <w:kern w:val="0"/>
                <w:szCs w:val="21"/>
              </w:rPr>
              <w:t xml:space="preserve">　　</w:t>
            </w:r>
            <w:r w:rsidRPr="00931138">
              <w:rPr>
                <w:rFonts w:ascii="微软雅黑" w:eastAsia="微软雅黑" w:hAnsi="微软雅黑" w:cs="宋体" w:hint="eastAsia"/>
                <w:color w:val="5C5C5C"/>
                <w:kern w:val="0"/>
                <w:szCs w:val="21"/>
              </w:rPr>
              <w:br/>
              <w:t xml:space="preserve">　　</w:t>
            </w:r>
            <w:proofErr w:type="gramEnd"/>
            <w:r w:rsidRPr="00931138">
              <w:rPr>
                <w:rFonts w:ascii="微软雅黑" w:eastAsia="微软雅黑" w:hAnsi="微软雅黑" w:cs="宋体" w:hint="eastAsia"/>
                <w:color w:val="5C5C5C"/>
                <w:kern w:val="0"/>
                <w:szCs w:val="21"/>
              </w:rPr>
              <w:br/>
              <w:t xml:space="preserve">　　 </w:t>
            </w:r>
            <w:r>
              <w:rPr>
                <w:rFonts w:ascii="微软雅黑" w:eastAsia="微软雅黑" w:hAnsi="微软雅黑" w:cs="宋体"/>
                <w:noProof/>
                <w:color w:val="5C5C5C"/>
                <w:kern w:val="0"/>
                <w:szCs w:val="21"/>
              </w:rPr>
              <w:drawing>
                <wp:inline distT="0" distB="0" distL="0" distR="0">
                  <wp:extent cx="4991100" cy="3048000"/>
                  <wp:effectExtent l="19050" t="0" r="0" b="0"/>
                  <wp:docPr id="4" name="图片 4" descr="http://www.cfachina.org/data/upload/remote/20101210/08403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fachina.org/data/upload/remote/20101210/0840322.JPG"/>
                          <pic:cNvPicPr>
                            <a:picLocks noChangeAspect="1" noChangeArrowheads="1"/>
                          </pic:cNvPicPr>
                        </pic:nvPicPr>
                        <pic:blipFill>
                          <a:blip r:embed="rId13"/>
                          <a:srcRect/>
                          <a:stretch>
                            <a:fillRect/>
                          </a:stretch>
                        </pic:blipFill>
                        <pic:spPr bwMode="auto">
                          <a:xfrm>
                            <a:off x="0" y="0"/>
                            <a:ext cx="4991100" cy="3048000"/>
                          </a:xfrm>
                          <a:prstGeom prst="rect">
                            <a:avLst/>
                          </a:prstGeom>
                          <a:noFill/>
                          <a:ln w="9525">
                            <a:noFill/>
                            <a:miter lim="800000"/>
                            <a:headEnd/>
                            <a:tailEnd/>
                          </a:ln>
                        </pic:spPr>
                      </pic:pic>
                    </a:graphicData>
                  </a:graphic>
                </wp:inline>
              </w:drawing>
            </w:r>
            <w:proofErr w:type="gramStart"/>
            <w:r w:rsidRPr="00931138">
              <w:rPr>
                <w:rFonts w:ascii="微软雅黑" w:eastAsia="微软雅黑" w:hAnsi="微软雅黑" w:cs="宋体" w:hint="eastAsia"/>
                <w:color w:val="5C5C5C"/>
                <w:kern w:val="0"/>
                <w:szCs w:val="21"/>
              </w:rPr>
              <w:t xml:space="preserve">　　</w:t>
            </w:r>
            <w:r w:rsidRPr="00931138">
              <w:rPr>
                <w:rFonts w:ascii="微软雅黑" w:eastAsia="微软雅黑" w:hAnsi="微软雅黑" w:cs="宋体" w:hint="eastAsia"/>
                <w:color w:val="5C5C5C"/>
                <w:kern w:val="0"/>
                <w:szCs w:val="21"/>
              </w:rPr>
              <w:br/>
              <w:t xml:space="preserve">　　</w:t>
            </w:r>
            <w:proofErr w:type="gramEnd"/>
            <w:r w:rsidRPr="00931138">
              <w:rPr>
                <w:rFonts w:ascii="微软雅黑" w:eastAsia="微软雅黑" w:hAnsi="微软雅黑" w:cs="宋体" w:hint="eastAsia"/>
                <w:color w:val="5C5C5C"/>
                <w:kern w:val="0"/>
                <w:szCs w:val="21"/>
              </w:rPr>
              <w:br/>
            </w:r>
            <w:proofErr w:type="gramStart"/>
            <w:r w:rsidRPr="00931138">
              <w:rPr>
                <w:rFonts w:ascii="微软雅黑" w:eastAsia="微软雅黑" w:hAnsi="微软雅黑" w:cs="宋体" w:hint="eastAsia"/>
                <w:color w:val="5C5C5C"/>
                <w:kern w:val="0"/>
                <w:szCs w:val="21"/>
              </w:rPr>
              <w:t xml:space="preserve">　　</w:t>
            </w:r>
            <w:r w:rsidRPr="00931138">
              <w:rPr>
                <w:rFonts w:ascii="微软雅黑" w:eastAsia="微软雅黑" w:hAnsi="微软雅黑" w:cs="宋体" w:hint="eastAsia"/>
                <w:color w:val="5C5C5C"/>
                <w:kern w:val="0"/>
                <w:szCs w:val="21"/>
              </w:rPr>
              <w:br/>
              <w:t xml:space="preserve">　　</w:t>
            </w:r>
            <w:proofErr w:type="gramEnd"/>
            <w:r w:rsidRPr="00931138">
              <w:rPr>
                <w:rFonts w:ascii="微软雅黑" w:eastAsia="微软雅黑" w:hAnsi="微软雅黑" w:cs="宋体" w:hint="eastAsia"/>
                <w:color w:val="5C5C5C"/>
                <w:kern w:val="0"/>
                <w:szCs w:val="21"/>
              </w:rPr>
              <w:t>豆</w:t>
            </w:r>
            <w:proofErr w:type="gramStart"/>
            <w:r w:rsidRPr="00931138">
              <w:rPr>
                <w:rFonts w:ascii="微软雅黑" w:eastAsia="微软雅黑" w:hAnsi="微软雅黑" w:cs="宋体" w:hint="eastAsia"/>
                <w:color w:val="5C5C5C"/>
                <w:kern w:val="0"/>
                <w:szCs w:val="21"/>
              </w:rPr>
              <w:t>粕</w:t>
            </w:r>
            <w:proofErr w:type="gramEnd"/>
            <w:r w:rsidRPr="00931138">
              <w:rPr>
                <w:rFonts w:ascii="微软雅黑" w:eastAsia="微软雅黑" w:hAnsi="微软雅黑" w:cs="宋体" w:hint="eastAsia"/>
                <w:color w:val="5C5C5C"/>
                <w:kern w:val="0"/>
                <w:szCs w:val="21"/>
              </w:rPr>
              <w:t>期货产业客户逐月持仓量</w:t>
            </w:r>
            <w:r w:rsidRPr="00931138">
              <w:rPr>
                <w:rFonts w:ascii="微软雅黑" w:eastAsia="微软雅黑" w:hAnsi="微软雅黑" w:cs="宋体" w:hint="eastAsia"/>
                <w:color w:val="5C5C5C"/>
                <w:kern w:val="0"/>
                <w:szCs w:val="21"/>
              </w:rPr>
              <w:br/>
            </w:r>
            <w:proofErr w:type="gramStart"/>
            <w:r w:rsidRPr="00931138">
              <w:rPr>
                <w:rFonts w:ascii="微软雅黑" w:eastAsia="微软雅黑" w:hAnsi="微软雅黑" w:cs="宋体" w:hint="eastAsia"/>
                <w:color w:val="5C5C5C"/>
                <w:kern w:val="0"/>
                <w:szCs w:val="21"/>
              </w:rPr>
              <w:lastRenderedPageBreak/>
              <w:t xml:space="preserve">　　</w:t>
            </w:r>
            <w:r w:rsidRPr="00931138">
              <w:rPr>
                <w:rFonts w:ascii="微软雅黑" w:eastAsia="微软雅黑" w:hAnsi="微软雅黑" w:cs="宋体" w:hint="eastAsia"/>
                <w:color w:val="5C5C5C"/>
                <w:kern w:val="0"/>
                <w:szCs w:val="21"/>
              </w:rPr>
              <w:br/>
              <w:t xml:space="preserve">　　</w:t>
            </w:r>
            <w:proofErr w:type="gramEnd"/>
            <w:r w:rsidRPr="00931138">
              <w:rPr>
                <w:rFonts w:ascii="微软雅黑" w:eastAsia="微软雅黑" w:hAnsi="微软雅黑" w:cs="宋体" w:hint="eastAsia"/>
                <w:color w:val="5C5C5C"/>
                <w:kern w:val="0"/>
                <w:szCs w:val="21"/>
              </w:rPr>
              <w:br/>
              <w:t xml:space="preserve">　　 </w:t>
            </w:r>
            <w:r>
              <w:rPr>
                <w:rFonts w:ascii="微软雅黑" w:eastAsia="微软雅黑" w:hAnsi="微软雅黑" w:cs="宋体"/>
                <w:noProof/>
                <w:color w:val="5C5C5C"/>
                <w:kern w:val="0"/>
                <w:szCs w:val="21"/>
              </w:rPr>
              <w:drawing>
                <wp:inline distT="0" distB="0" distL="0" distR="0">
                  <wp:extent cx="4991100" cy="2867025"/>
                  <wp:effectExtent l="19050" t="0" r="0" b="0"/>
                  <wp:docPr id="5" name="图片 5" descr="http://www.cfachina.org/data/upload/remote/20101210/08403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fachina.org/data/upload/remote/20101210/0840323.JPG"/>
                          <pic:cNvPicPr>
                            <a:picLocks noChangeAspect="1" noChangeArrowheads="1"/>
                          </pic:cNvPicPr>
                        </pic:nvPicPr>
                        <pic:blipFill>
                          <a:blip r:embed="rId14"/>
                          <a:srcRect/>
                          <a:stretch>
                            <a:fillRect/>
                          </a:stretch>
                        </pic:blipFill>
                        <pic:spPr bwMode="auto">
                          <a:xfrm>
                            <a:off x="0" y="0"/>
                            <a:ext cx="4991100" cy="2867025"/>
                          </a:xfrm>
                          <a:prstGeom prst="rect">
                            <a:avLst/>
                          </a:prstGeom>
                          <a:noFill/>
                          <a:ln w="9525">
                            <a:noFill/>
                            <a:miter lim="800000"/>
                            <a:headEnd/>
                            <a:tailEnd/>
                          </a:ln>
                        </pic:spPr>
                      </pic:pic>
                    </a:graphicData>
                  </a:graphic>
                </wp:inline>
              </w:drawing>
            </w:r>
            <w:proofErr w:type="gramStart"/>
            <w:r w:rsidRPr="00931138">
              <w:rPr>
                <w:rFonts w:ascii="微软雅黑" w:eastAsia="微软雅黑" w:hAnsi="微软雅黑" w:cs="宋体" w:hint="eastAsia"/>
                <w:color w:val="5C5C5C"/>
                <w:kern w:val="0"/>
                <w:szCs w:val="21"/>
              </w:rPr>
              <w:t xml:space="preserve">　　</w:t>
            </w:r>
            <w:r w:rsidRPr="00931138">
              <w:rPr>
                <w:rFonts w:ascii="微软雅黑" w:eastAsia="微软雅黑" w:hAnsi="微软雅黑" w:cs="宋体" w:hint="eastAsia"/>
                <w:color w:val="5C5C5C"/>
                <w:kern w:val="0"/>
                <w:szCs w:val="21"/>
              </w:rPr>
              <w:br/>
              <w:t xml:space="preserve">　　</w:t>
            </w:r>
            <w:proofErr w:type="gramEnd"/>
            <w:r w:rsidRPr="00931138">
              <w:rPr>
                <w:rFonts w:ascii="微软雅黑" w:eastAsia="微软雅黑" w:hAnsi="微软雅黑" w:cs="宋体" w:hint="eastAsia"/>
                <w:color w:val="5C5C5C"/>
                <w:kern w:val="0"/>
                <w:szCs w:val="21"/>
              </w:rPr>
              <w:br/>
            </w:r>
            <w:proofErr w:type="gramStart"/>
            <w:r w:rsidRPr="00931138">
              <w:rPr>
                <w:rFonts w:ascii="微软雅黑" w:eastAsia="微软雅黑" w:hAnsi="微软雅黑" w:cs="宋体" w:hint="eastAsia"/>
                <w:color w:val="5C5C5C"/>
                <w:kern w:val="0"/>
                <w:szCs w:val="21"/>
              </w:rPr>
              <w:t xml:space="preserve">　　</w:t>
            </w:r>
            <w:r w:rsidRPr="00931138">
              <w:rPr>
                <w:rFonts w:ascii="微软雅黑" w:eastAsia="微软雅黑" w:hAnsi="微软雅黑" w:cs="宋体" w:hint="eastAsia"/>
                <w:color w:val="5C5C5C"/>
                <w:kern w:val="0"/>
                <w:szCs w:val="21"/>
              </w:rPr>
              <w:br/>
              <w:t xml:space="preserve">　　</w:t>
            </w:r>
            <w:proofErr w:type="gramEnd"/>
            <w:r w:rsidRPr="00931138">
              <w:rPr>
                <w:rFonts w:ascii="微软雅黑" w:eastAsia="微软雅黑" w:hAnsi="微软雅黑" w:cs="宋体" w:hint="eastAsia"/>
                <w:color w:val="5C5C5C"/>
                <w:kern w:val="0"/>
                <w:szCs w:val="21"/>
              </w:rPr>
              <w:t>3.厂</w:t>
            </w:r>
            <w:proofErr w:type="gramStart"/>
            <w:r w:rsidRPr="00931138">
              <w:rPr>
                <w:rFonts w:ascii="微软雅黑" w:eastAsia="微软雅黑" w:hAnsi="微软雅黑" w:cs="宋体" w:hint="eastAsia"/>
                <w:color w:val="5C5C5C"/>
                <w:kern w:val="0"/>
                <w:szCs w:val="21"/>
              </w:rPr>
              <w:t>库仓单注册</w:t>
            </w:r>
            <w:proofErr w:type="gramEnd"/>
            <w:r w:rsidRPr="00931138">
              <w:rPr>
                <w:rFonts w:ascii="微软雅黑" w:eastAsia="微软雅黑" w:hAnsi="微软雅黑" w:cs="宋体" w:hint="eastAsia"/>
                <w:color w:val="5C5C5C"/>
                <w:kern w:val="0"/>
                <w:szCs w:val="21"/>
              </w:rPr>
              <w:t>数量在交割中占有重要地位</w:t>
            </w:r>
            <w:r w:rsidRPr="00931138">
              <w:rPr>
                <w:rFonts w:ascii="微软雅黑" w:eastAsia="微软雅黑" w:hAnsi="微软雅黑" w:cs="宋体" w:hint="eastAsia"/>
                <w:color w:val="5C5C5C"/>
                <w:kern w:val="0"/>
                <w:szCs w:val="21"/>
              </w:rPr>
              <w:br/>
              <w:t xml:space="preserve">　　自推行厂库交割制度以来，豆油、豆</w:t>
            </w:r>
            <w:proofErr w:type="gramStart"/>
            <w:r w:rsidRPr="00931138">
              <w:rPr>
                <w:rFonts w:ascii="微软雅黑" w:eastAsia="微软雅黑" w:hAnsi="微软雅黑" w:cs="宋体" w:hint="eastAsia"/>
                <w:color w:val="5C5C5C"/>
                <w:kern w:val="0"/>
                <w:szCs w:val="21"/>
              </w:rPr>
              <w:t>粕</w:t>
            </w:r>
            <w:proofErr w:type="gramEnd"/>
            <w:r w:rsidRPr="00931138">
              <w:rPr>
                <w:rFonts w:ascii="微软雅黑" w:eastAsia="微软雅黑" w:hAnsi="微软雅黑" w:cs="宋体" w:hint="eastAsia"/>
                <w:color w:val="5C5C5C"/>
                <w:kern w:val="0"/>
                <w:szCs w:val="21"/>
              </w:rPr>
              <w:t>一直以厂库交割为主。豆油期货上市以来，有36个月份发生过仓单注册，共注册豆油仓单61302手。其中，33个月份有厂</w:t>
            </w:r>
            <w:proofErr w:type="gramStart"/>
            <w:r w:rsidRPr="00931138">
              <w:rPr>
                <w:rFonts w:ascii="微软雅黑" w:eastAsia="微软雅黑" w:hAnsi="微软雅黑" w:cs="宋体" w:hint="eastAsia"/>
                <w:color w:val="5C5C5C"/>
                <w:kern w:val="0"/>
                <w:szCs w:val="21"/>
              </w:rPr>
              <w:t>库仓</w:t>
            </w:r>
            <w:proofErr w:type="gramEnd"/>
            <w:r w:rsidRPr="00931138">
              <w:rPr>
                <w:rFonts w:ascii="微软雅黑" w:eastAsia="微软雅黑" w:hAnsi="微软雅黑" w:cs="宋体" w:hint="eastAsia"/>
                <w:color w:val="5C5C5C"/>
                <w:kern w:val="0"/>
                <w:szCs w:val="21"/>
              </w:rPr>
              <w:t>单注册，共注册厂</w:t>
            </w:r>
            <w:proofErr w:type="gramStart"/>
            <w:r w:rsidRPr="00931138">
              <w:rPr>
                <w:rFonts w:ascii="微软雅黑" w:eastAsia="微软雅黑" w:hAnsi="微软雅黑" w:cs="宋体" w:hint="eastAsia"/>
                <w:color w:val="5C5C5C"/>
                <w:kern w:val="0"/>
                <w:szCs w:val="21"/>
              </w:rPr>
              <w:t>库仓</w:t>
            </w:r>
            <w:proofErr w:type="gramEnd"/>
            <w:r w:rsidRPr="00931138">
              <w:rPr>
                <w:rFonts w:ascii="微软雅黑" w:eastAsia="微软雅黑" w:hAnsi="微软雅黑" w:cs="宋体" w:hint="eastAsia"/>
                <w:color w:val="5C5C5C"/>
                <w:kern w:val="0"/>
                <w:szCs w:val="21"/>
              </w:rPr>
              <w:t>单41010手，占注册仓单总量的66.9%。豆</w:t>
            </w:r>
            <w:proofErr w:type="gramStart"/>
            <w:r w:rsidRPr="00931138">
              <w:rPr>
                <w:rFonts w:ascii="微软雅黑" w:eastAsia="微软雅黑" w:hAnsi="微软雅黑" w:cs="宋体" w:hint="eastAsia"/>
                <w:color w:val="5C5C5C"/>
                <w:kern w:val="0"/>
                <w:szCs w:val="21"/>
              </w:rPr>
              <w:t>粕</w:t>
            </w:r>
            <w:proofErr w:type="gramEnd"/>
            <w:r w:rsidRPr="00931138">
              <w:rPr>
                <w:rFonts w:ascii="微软雅黑" w:eastAsia="微软雅黑" w:hAnsi="微软雅黑" w:cs="宋体" w:hint="eastAsia"/>
                <w:color w:val="5C5C5C"/>
                <w:kern w:val="0"/>
                <w:szCs w:val="21"/>
              </w:rPr>
              <w:t>发生过仓单注册的43个月份当中，有37个月份有厂</w:t>
            </w:r>
            <w:proofErr w:type="gramStart"/>
            <w:r w:rsidRPr="00931138">
              <w:rPr>
                <w:rFonts w:ascii="微软雅黑" w:eastAsia="微软雅黑" w:hAnsi="微软雅黑" w:cs="宋体" w:hint="eastAsia"/>
                <w:color w:val="5C5C5C"/>
                <w:kern w:val="0"/>
                <w:szCs w:val="21"/>
              </w:rPr>
              <w:t>库仓</w:t>
            </w:r>
            <w:proofErr w:type="gramEnd"/>
            <w:r w:rsidRPr="00931138">
              <w:rPr>
                <w:rFonts w:ascii="微软雅黑" w:eastAsia="微软雅黑" w:hAnsi="微软雅黑" w:cs="宋体" w:hint="eastAsia"/>
                <w:color w:val="5C5C5C"/>
                <w:kern w:val="0"/>
                <w:szCs w:val="21"/>
              </w:rPr>
              <w:t>单生成，合计65556手，占豆</w:t>
            </w:r>
            <w:proofErr w:type="gramStart"/>
            <w:r w:rsidRPr="00931138">
              <w:rPr>
                <w:rFonts w:ascii="微软雅黑" w:eastAsia="微软雅黑" w:hAnsi="微软雅黑" w:cs="宋体" w:hint="eastAsia"/>
                <w:color w:val="5C5C5C"/>
                <w:kern w:val="0"/>
                <w:szCs w:val="21"/>
              </w:rPr>
              <w:t>粕</w:t>
            </w:r>
            <w:proofErr w:type="gramEnd"/>
            <w:r w:rsidRPr="00931138">
              <w:rPr>
                <w:rFonts w:ascii="微软雅黑" w:eastAsia="微软雅黑" w:hAnsi="微软雅黑" w:cs="宋体" w:hint="eastAsia"/>
                <w:color w:val="5C5C5C"/>
                <w:kern w:val="0"/>
                <w:szCs w:val="21"/>
              </w:rPr>
              <w:t>仓单注册总量的59.2%，其中2008年厂库交割量占全年交割量的96.5%。棕榈油期货由于上市时间短，且几乎全部依靠进口，故厂</w:t>
            </w:r>
            <w:proofErr w:type="gramStart"/>
            <w:r w:rsidRPr="00931138">
              <w:rPr>
                <w:rFonts w:ascii="微软雅黑" w:eastAsia="微软雅黑" w:hAnsi="微软雅黑" w:cs="宋体" w:hint="eastAsia"/>
                <w:color w:val="5C5C5C"/>
                <w:kern w:val="0"/>
                <w:szCs w:val="21"/>
              </w:rPr>
              <w:t>库仓</w:t>
            </w:r>
            <w:proofErr w:type="gramEnd"/>
            <w:r w:rsidRPr="00931138">
              <w:rPr>
                <w:rFonts w:ascii="微软雅黑" w:eastAsia="微软雅黑" w:hAnsi="微软雅黑" w:cs="宋体" w:hint="eastAsia"/>
                <w:color w:val="5C5C5C"/>
                <w:kern w:val="0"/>
                <w:szCs w:val="21"/>
              </w:rPr>
              <w:t>单数量相对较少。</w:t>
            </w:r>
            <w:r w:rsidRPr="00931138">
              <w:rPr>
                <w:rFonts w:ascii="微软雅黑" w:eastAsia="微软雅黑" w:hAnsi="微软雅黑" w:cs="宋体" w:hint="eastAsia"/>
                <w:color w:val="5C5C5C"/>
                <w:kern w:val="0"/>
                <w:szCs w:val="21"/>
              </w:rPr>
              <w:br/>
              <w:t xml:space="preserve">　　厂</w:t>
            </w:r>
            <w:proofErr w:type="gramStart"/>
            <w:r w:rsidRPr="00931138">
              <w:rPr>
                <w:rFonts w:ascii="微软雅黑" w:eastAsia="微软雅黑" w:hAnsi="微软雅黑" w:cs="宋体" w:hint="eastAsia"/>
                <w:color w:val="5C5C5C"/>
                <w:kern w:val="0"/>
                <w:szCs w:val="21"/>
              </w:rPr>
              <w:t>库仓单注册</w:t>
            </w:r>
            <w:proofErr w:type="gramEnd"/>
            <w:r w:rsidRPr="00931138">
              <w:rPr>
                <w:rFonts w:ascii="微软雅黑" w:eastAsia="微软雅黑" w:hAnsi="微软雅黑" w:cs="宋体" w:hint="eastAsia"/>
                <w:color w:val="5C5C5C"/>
                <w:kern w:val="0"/>
                <w:szCs w:val="21"/>
              </w:rPr>
              <w:t>情况</w:t>
            </w:r>
            <w:r w:rsidRPr="00931138">
              <w:rPr>
                <w:rFonts w:ascii="微软雅黑" w:eastAsia="微软雅黑" w:hAnsi="微软雅黑" w:cs="宋体" w:hint="eastAsia"/>
                <w:color w:val="5C5C5C"/>
                <w:kern w:val="0"/>
                <w:szCs w:val="21"/>
              </w:rPr>
              <w:br/>
            </w:r>
            <w:proofErr w:type="gramStart"/>
            <w:r w:rsidRPr="00931138">
              <w:rPr>
                <w:rFonts w:ascii="微软雅黑" w:eastAsia="微软雅黑" w:hAnsi="微软雅黑" w:cs="宋体" w:hint="eastAsia"/>
                <w:color w:val="5C5C5C"/>
                <w:kern w:val="0"/>
                <w:szCs w:val="21"/>
              </w:rPr>
              <w:t xml:space="preserve">　　</w:t>
            </w:r>
            <w:r w:rsidRPr="00931138">
              <w:rPr>
                <w:rFonts w:ascii="微软雅黑" w:eastAsia="微软雅黑" w:hAnsi="微软雅黑" w:cs="宋体" w:hint="eastAsia"/>
                <w:color w:val="5C5C5C"/>
                <w:kern w:val="0"/>
                <w:szCs w:val="21"/>
              </w:rPr>
              <w:br/>
            </w:r>
            <w:r w:rsidRPr="00931138">
              <w:rPr>
                <w:rFonts w:ascii="微软雅黑" w:eastAsia="微软雅黑" w:hAnsi="微软雅黑" w:cs="宋体" w:hint="eastAsia"/>
                <w:color w:val="5C5C5C"/>
                <w:kern w:val="0"/>
                <w:szCs w:val="21"/>
              </w:rPr>
              <w:lastRenderedPageBreak/>
              <w:t xml:space="preserve">　　</w:t>
            </w:r>
            <w:proofErr w:type="gramEnd"/>
            <w:r w:rsidRPr="00931138">
              <w:rPr>
                <w:rFonts w:ascii="微软雅黑" w:eastAsia="微软雅黑" w:hAnsi="微软雅黑" w:cs="宋体" w:hint="eastAsia"/>
                <w:color w:val="5C5C5C"/>
                <w:kern w:val="0"/>
                <w:szCs w:val="21"/>
              </w:rPr>
              <w:br/>
              <w:t xml:space="preserve">　　 </w:t>
            </w:r>
            <w:r>
              <w:rPr>
                <w:rFonts w:ascii="微软雅黑" w:eastAsia="微软雅黑" w:hAnsi="微软雅黑" w:cs="宋体"/>
                <w:noProof/>
                <w:color w:val="5C5C5C"/>
                <w:kern w:val="0"/>
                <w:szCs w:val="21"/>
              </w:rPr>
              <w:drawing>
                <wp:inline distT="0" distB="0" distL="0" distR="0">
                  <wp:extent cx="6496050" cy="3219450"/>
                  <wp:effectExtent l="19050" t="0" r="0" b="0"/>
                  <wp:docPr id="6" name="图片 6" descr="http://www.cfachina.org/data/upload/remote/20101210/08403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fachina.org/data/upload/remote/20101210/0840324.JPG"/>
                          <pic:cNvPicPr>
                            <a:picLocks noChangeAspect="1" noChangeArrowheads="1"/>
                          </pic:cNvPicPr>
                        </pic:nvPicPr>
                        <pic:blipFill>
                          <a:blip r:embed="rId15"/>
                          <a:srcRect/>
                          <a:stretch>
                            <a:fillRect/>
                          </a:stretch>
                        </pic:blipFill>
                        <pic:spPr bwMode="auto">
                          <a:xfrm>
                            <a:off x="0" y="0"/>
                            <a:ext cx="6496050" cy="3219450"/>
                          </a:xfrm>
                          <a:prstGeom prst="rect">
                            <a:avLst/>
                          </a:prstGeom>
                          <a:noFill/>
                          <a:ln w="9525">
                            <a:noFill/>
                            <a:miter lim="800000"/>
                            <a:headEnd/>
                            <a:tailEnd/>
                          </a:ln>
                        </pic:spPr>
                      </pic:pic>
                    </a:graphicData>
                  </a:graphic>
                </wp:inline>
              </w:drawing>
            </w:r>
            <w:proofErr w:type="gramStart"/>
            <w:r w:rsidRPr="00931138">
              <w:rPr>
                <w:rFonts w:ascii="微软雅黑" w:eastAsia="微软雅黑" w:hAnsi="微软雅黑" w:cs="宋体" w:hint="eastAsia"/>
                <w:color w:val="5C5C5C"/>
                <w:kern w:val="0"/>
                <w:szCs w:val="21"/>
              </w:rPr>
              <w:t xml:space="preserve">　　</w:t>
            </w:r>
            <w:r w:rsidRPr="00931138">
              <w:rPr>
                <w:rFonts w:ascii="微软雅黑" w:eastAsia="微软雅黑" w:hAnsi="微软雅黑" w:cs="宋体" w:hint="eastAsia"/>
                <w:color w:val="5C5C5C"/>
                <w:kern w:val="0"/>
                <w:szCs w:val="21"/>
              </w:rPr>
              <w:br/>
              <w:t xml:space="preserve">　　</w:t>
            </w:r>
            <w:proofErr w:type="gramEnd"/>
            <w:r w:rsidRPr="00931138">
              <w:rPr>
                <w:rFonts w:ascii="微软雅黑" w:eastAsia="微软雅黑" w:hAnsi="微软雅黑" w:cs="宋体" w:hint="eastAsia"/>
                <w:color w:val="5C5C5C"/>
                <w:kern w:val="0"/>
                <w:szCs w:val="21"/>
              </w:rPr>
              <w:br/>
              <w:t xml:space="preserve">　　4.实施厂库交割之后交割量逐年放大，交割比率维持在较低水平，套保功能得到有效发挥</w:t>
            </w:r>
            <w:r w:rsidRPr="00931138">
              <w:rPr>
                <w:rFonts w:ascii="微软雅黑" w:eastAsia="微软雅黑" w:hAnsi="微软雅黑" w:cs="宋体" w:hint="eastAsia"/>
                <w:color w:val="5C5C5C"/>
                <w:kern w:val="0"/>
                <w:szCs w:val="21"/>
              </w:rPr>
              <w:br/>
              <w:t xml:space="preserve">　　以豆</w:t>
            </w:r>
            <w:proofErr w:type="gramStart"/>
            <w:r w:rsidRPr="00931138">
              <w:rPr>
                <w:rFonts w:ascii="微软雅黑" w:eastAsia="微软雅黑" w:hAnsi="微软雅黑" w:cs="宋体" w:hint="eastAsia"/>
                <w:color w:val="5C5C5C"/>
                <w:kern w:val="0"/>
                <w:szCs w:val="21"/>
              </w:rPr>
              <w:t>粕</w:t>
            </w:r>
            <w:proofErr w:type="gramEnd"/>
            <w:r w:rsidRPr="00931138">
              <w:rPr>
                <w:rFonts w:ascii="微软雅黑" w:eastAsia="微软雅黑" w:hAnsi="微软雅黑" w:cs="宋体" w:hint="eastAsia"/>
                <w:color w:val="5C5C5C"/>
                <w:kern w:val="0"/>
                <w:szCs w:val="21"/>
              </w:rPr>
              <w:t>期货为例，实施厂库交割制度以后，交割区域覆盖了华南和江浙沪地区，吸引了大批套</w:t>
            </w:r>
            <w:proofErr w:type="gramStart"/>
            <w:r w:rsidRPr="00931138">
              <w:rPr>
                <w:rFonts w:ascii="微软雅黑" w:eastAsia="微软雅黑" w:hAnsi="微软雅黑" w:cs="宋体" w:hint="eastAsia"/>
                <w:color w:val="5C5C5C"/>
                <w:kern w:val="0"/>
                <w:szCs w:val="21"/>
              </w:rPr>
              <w:t>保客户</w:t>
            </w:r>
            <w:proofErr w:type="gramEnd"/>
            <w:r w:rsidRPr="00931138">
              <w:rPr>
                <w:rFonts w:ascii="微软雅黑" w:eastAsia="微软雅黑" w:hAnsi="微软雅黑" w:cs="宋体" w:hint="eastAsia"/>
                <w:color w:val="5C5C5C"/>
                <w:kern w:val="0"/>
                <w:szCs w:val="21"/>
              </w:rPr>
              <w:t>的参与。同时，产业客户</w:t>
            </w:r>
            <w:proofErr w:type="gramStart"/>
            <w:r w:rsidRPr="00931138">
              <w:rPr>
                <w:rFonts w:ascii="微软雅黑" w:eastAsia="微软雅黑" w:hAnsi="微软雅黑" w:cs="宋体" w:hint="eastAsia"/>
                <w:color w:val="5C5C5C"/>
                <w:kern w:val="0"/>
                <w:szCs w:val="21"/>
              </w:rPr>
              <w:t>除套保操作</w:t>
            </w:r>
            <w:proofErr w:type="gramEnd"/>
            <w:r w:rsidRPr="00931138">
              <w:rPr>
                <w:rFonts w:ascii="微软雅黑" w:eastAsia="微软雅黑" w:hAnsi="微软雅黑" w:cs="宋体" w:hint="eastAsia"/>
                <w:color w:val="5C5C5C"/>
                <w:kern w:val="0"/>
                <w:szCs w:val="21"/>
              </w:rPr>
              <w:t>外，还逐步摸索期现套利和跨期套利等操作模式，交割量逐步放大，但交割率2007年以来基本维持在1%的较低水平。据统计，实施厂库交割制度以来，大连期货市场豆</w:t>
            </w:r>
            <w:proofErr w:type="gramStart"/>
            <w:r w:rsidRPr="00931138">
              <w:rPr>
                <w:rFonts w:ascii="微软雅黑" w:eastAsia="微软雅黑" w:hAnsi="微软雅黑" w:cs="宋体" w:hint="eastAsia"/>
                <w:color w:val="5C5C5C"/>
                <w:kern w:val="0"/>
                <w:szCs w:val="21"/>
              </w:rPr>
              <w:t>粕</w:t>
            </w:r>
            <w:proofErr w:type="gramEnd"/>
            <w:r w:rsidRPr="00931138">
              <w:rPr>
                <w:rFonts w:ascii="微软雅黑" w:eastAsia="微软雅黑" w:hAnsi="微软雅黑" w:cs="宋体" w:hint="eastAsia"/>
                <w:color w:val="5C5C5C"/>
                <w:kern w:val="0"/>
                <w:szCs w:val="21"/>
              </w:rPr>
              <w:t>价格与现货价格相关性维持在0.97以上，套保效率超过75%，2008年的套保效率更是高达91%。结合产业客户持仓情况以及豆</w:t>
            </w:r>
            <w:proofErr w:type="gramStart"/>
            <w:r w:rsidRPr="00931138">
              <w:rPr>
                <w:rFonts w:ascii="微软雅黑" w:eastAsia="微软雅黑" w:hAnsi="微软雅黑" w:cs="宋体" w:hint="eastAsia"/>
                <w:color w:val="5C5C5C"/>
                <w:kern w:val="0"/>
                <w:szCs w:val="21"/>
              </w:rPr>
              <w:t>粕</w:t>
            </w:r>
            <w:proofErr w:type="gramEnd"/>
            <w:r w:rsidRPr="00931138">
              <w:rPr>
                <w:rFonts w:ascii="微软雅黑" w:eastAsia="微软雅黑" w:hAnsi="微软雅黑" w:cs="宋体" w:hint="eastAsia"/>
                <w:color w:val="5C5C5C"/>
                <w:kern w:val="0"/>
                <w:szCs w:val="21"/>
              </w:rPr>
              <w:t>套保效率核算，说明豆</w:t>
            </w:r>
            <w:proofErr w:type="gramStart"/>
            <w:r w:rsidRPr="00931138">
              <w:rPr>
                <w:rFonts w:ascii="微软雅黑" w:eastAsia="微软雅黑" w:hAnsi="微软雅黑" w:cs="宋体" w:hint="eastAsia"/>
                <w:color w:val="5C5C5C"/>
                <w:kern w:val="0"/>
                <w:szCs w:val="21"/>
              </w:rPr>
              <w:t>粕</w:t>
            </w:r>
            <w:proofErr w:type="gramEnd"/>
            <w:r w:rsidRPr="00931138">
              <w:rPr>
                <w:rFonts w:ascii="微软雅黑" w:eastAsia="微软雅黑" w:hAnsi="微软雅黑" w:cs="宋体" w:hint="eastAsia"/>
                <w:color w:val="5C5C5C"/>
                <w:kern w:val="0"/>
                <w:szCs w:val="21"/>
              </w:rPr>
              <w:t>期货市场套保功能发挥十分有效。</w:t>
            </w:r>
            <w:r w:rsidRPr="00931138">
              <w:rPr>
                <w:rFonts w:ascii="微软雅黑" w:eastAsia="微软雅黑" w:hAnsi="微软雅黑" w:cs="宋体" w:hint="eastAsia"/>
                <w:color w:val="5C5C5C"/>
                <w:kern w:val="0"/>
                <w:szCs w:val="21"/>
              </w:rPr>
              <w:br/>
              <w:t xml:space="preserve">　　豆</w:t>
            </w:r>
            <w:proofErr w:type="gramStart"/>
            <w:r w:rsidRPr="00931138">
              <w:rPr>
                <w:rFonts w:ascii="微软雅黑" w:eastAsia="微软雅黑" w:hAnsi="微软雅黑" w:cs="宋体" w:hint="eastAsia"/>
                <w:color w:val="5C5C5C"/>
                <w:kern w:val="0"/>
                <w:szCs w:val="21"/>
              </w:rPr>
              <w:t>粕</w:t>
            </w:r>
            <w:proofErr w:type="gramEnd"/>
            <w:r w:rsidRPr="00931138">
              <w:rPr>
                <w:rFonts w:ascii="微软雅黑" w:eastAsia="微软雅黑" w:hAnsi="微软雅黑" w:cs="宋体" w:hint="eastAsia"/>
                <w:color w:val="5C5C5C"/>
                <w:kern w:val="0"/>
                <w:szCs w:val="21"/>
              </w:rPr>
              <w:t>期货上市以来交割情况（单位：手）</w:t>
            </w:r>
            <w:r w:rsidRPr="00931138">
              <w:rPr>
                <w:rFonts w:ascii="微软雅黑" w:eastAsia="微软雅黑" w:hAnsi="微软雅黑" w:cs="宋体" w:hint="eastAsia"/>
                <w:color w:val="5C5C5C"/>
                <w:kern w:val="0"/>
                <w:szCs w:val="21"/>
              </w:rPr>
              <w:br/>
            </w:r>
            <w:proofErr w:type="gramStart"/>
            <w:r w:rsidRPr="00931138">
              <w:rPr>
                <w:rFonts w:ascii="微软雅黑" w:eastAsia="微软雅黑" w:hAnsi="微软雅黑" w:cs="宋体" w:hint="eastAsia"/>
                <w:color w:val="5C5C5C"/>
                <w:kern w:val="0"/>
                <w:szCs w:val="21"/>
              </w:rPr>
              <w:lastRenderedPageBreak/>
              <w:t xml:space="preserve">　　</w:t>
            </w:r>
            <w:r w:rsidRPr="00931138">
              <w:rPr>
                <w:rFonts w:ascii="微软雅黑" w:eastAsia="微软雅黑" w:hAnsi="微软雅黑" w:cs="宋体" w:hint="eastAsia"/>
                <w:color w:val="5C5C5C"/>
                <w:kern w:val="0"/>
                <w:szCs w:val="21"/>
              </w:rPr>
              <w:br/>
              <w:t xml:space="preserve">　　</w:t>
            </w:r>
            <w:proofErr w:type="gramEnd"/>
            <w:r w:rsidRPr="00931138">
              <w:rPr>
                <w:rFonts w:ascii="微软雅黑" w:eastAsia="微软雅黑" w:hAnsi="微软雅黑" w:cs="宋体" w:hint="eastAsia"/>
                <w:color w:val="5C5C5C"/>
                <w:kern w:val="0"/>
                <w:szCs w:val="21"/>
              </w:rPr>
              <w:t xml:space="preserve"> </w:t>
            </w:r>
            <w:r>
              <w:rPr>
                <w:rFonts w:ascii="微软雅黑" w:eastAsia="微软雅黑" w:hAnsi="微软雅黑" w:cs="宋体"/>
                <w:noProof/>
                <w:color w:val="5C5C5C"/>
                <w:kern w:val="0"/>
                <w:szCs w:val="21"/>
              </w:rPr>
              <w:drawing>
                <wp:inline distT="0" distB="0" distL="0" distR="0">
                  <wp:extent cx="6591300" cy="2800350"/>
                  <wp:effectExtent l="19050" t="0" r="0" b="0"/>
                  <wp:docPr id="7" name="图片 7" descr="http://www.cfachina.org/data/upload/remote/20101210/08403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fachina.org/data/upload/remote/20101210/0840325.JPG"/>
                          <pic:cNvPicPr>
                            <a:picLocks noChangeAspect="1" noChangeArrowheads="1"/>
                          </pic:cNvPicPr>
                        </pic:nvPicPr>
                        <pic:blipFill>
                          <a:blip r:embed="rId16"/>
                          <a:srcRect/>
                          <a:stretch>
                            <a:fillRect/>
                          </a:stretch>
                        </pic:blipFill>
                        <pic:spPr bwMode="auto">
                          <a:xfrm>
                            <a:off x="0" y="0"/>
                            <a:ext cx="6591300" cy="2800350"/>
                          </a:xfrm>
                          <a:prstGeom prst="rect">
                            <a:avLst/>
                          </a:prstGeom>
                          <a:noFill/>
                          <a:ln w="9525">
                            <a:noFill/>
                            <a:miter lim="800000"/>
                            <a:headEnd/>
                            <a:tailEnd/>
                          </a:ln>
                        </pic:spPr>
                      </pic:pic>
                    </a:graphicData>
                  </a:graphic>
                </wp:inline>
              </w:drawing>
            </w:r>
            <w:proofErr w:type="gramStart"/>
            <w:r w:rsidRPr="00931138">
              <w:rPr>
                <w:rFonts w:ascii="微软雅黑" w:eastAsia="微软雅黑" w:hAnsi="微软雅黑" w:cs="宋体" w:hint="eastAsia"/>
                <w:color w:val="5C5C5C"/>
                <w:kern w:val="0"/>
                <w:szCs w:val="21"/>
              </w:rPr>
              <w:t xml:space="preserve">　　</w:t>
            </w:r>
            <w:r w:rsidRPr="00931138">
              <w:rPr>
                <w:rFonts w:ascii="微软雅黑" w:eastAsia="微软雅黑" w:hAnsi="微软雅黑" w:cs="宋体" w:hint="eastAsia"/>
                <w:color w:val="5C5C5C"/>
                <w:kern w:val="0"/>
                <w:szCs w:val="21"/>
              </w:rPr>
              <w:br/>
              <w:t xml:space="preserve">　　</w:t>
            </w:r>
            <w:proofErr w:type="gramEnd"/>
            <w:r w:rsidRPr="00931138">
              <w:rPr>
                <w:rFonts w:ascii="微软雅黑" w:eastAsia="微软雅黑" w:hAnsi="微软雅黑" w:cs="宋体" w:hint="eastAsia"/>
                <w:color w:val="5C5C5C"/>
                <w:kern w:val="0"/>
                <w:szCs w:val="21"/>
              </w:rPr>
              <w:br/>
            </w:r>
            <w:proofErr w:type="gramStart"/>
            <w:r w:rsidRPr="00931138">
              <w:rPr>
                <w:rFonts w:ascii="微软雅黑" w:eastAsia="微软雅黑" w:hAnsi="微软雅黑" w:cs="宋体" w:hint="eastAsia"/>
                <w:color w:val="5C5C5C"/>
                <w:kern w:val="0"/>
                <w:szCs w:val="21"/>
              </w:rPr>
              <w:t xml:space="preserve">　　</w:t>
            </w:r>
            <w:r w:rsidRPr="00931138">
              <w:rPr>
                <w:rFonts w:ascii="微软雅黑" w:eastAsia="微软雅黑" w:hAnsi="微软雅黑" w:cs="宋体" w:hint="eastAsia"/>
                <w:color w:val="5C5C5C"/>
                <w:kern w:val="0"/>
                <w:szCs w:val="21"/>
              </w:rPr>
              <w:br/>
              <w:t xml:space="preserve">　　</w:t>
            </w:r>
            <w:proofErr w:type="gramEnd"/>
            <w:r w:rsidRPr="00931138">
              <w:rPr>
                <w:rFonts w:ascii="微软雅黑" w:eastAsia="微软雅黑" w:hAnsi="微软雅黑" w:cs="宋体" w:hint="eastAsia"/>
                <w:color w:val="5C5C5C"/>
                <w:kern w:val="0"/>
                <w:szCs w:val="21"/>
              </w:rPr>
              <w:t>豆</w:t>
            </w:r>
            <w:proofErr w:type="gramStart"/>
            <w:r w:rsidRPr="00931138">
              <w:rPr>
                <w:rFonts w:ascii="微软雅黑" w:eastAsia="微软雅黑" w:hAnsi="微软雅黑" w:cs="宋体" w:hint="eastAsia"/>
                <w:color w:val="5C5C5C"/>
                <w:kern w:val="0"/>
                <w:szCs w:val="21"/>
              </w:rPr>
              <w:t>粕</w:t>
            </w:r>
            <w:proofErr w:type="gramEnd"/>
            <w:r w:rsidRPr="00931138">
              <w:rPr>
                <w:rFonts w:ascii="微软雅黑" w:eastAsia="微软雅黑" w:hAnsi="微软雅黑" w:cs="宋体" w:hint="eastAsia"/>
                <w:color w:val="5C5C5C"/>
                <w:kern w:val="0"/>
                <w:szCs w:val="21"/>
              </w:rPr>
              <w:t>期货各合约交割率/交割量（单位：手）</w:t>
            </w:r>
          </w:p>
          <w:p w:rsidR="00931138" w:rsidRPr="00931138" w:rsidRDefault="00931138" w:rsidP="005413EE">
            <w:pPr>
              <w:widowControl/>
              <w:spacing w:before="100" w:beforeAutospacing="1" w:after="100" w:afterAutospacing="1" w:line="360" w:lineRule="auto"/>
              <w:jc w:val="left"/>
              <w:rPr>
                <w:rFonts w:ascii="微软雅黑" w:eastAsia="微软雅黑" w:hAnsi="微软雅黑" w:cs="宋体"/>
                <w:color w:val="5C5C5C"/>
                <w:kern w:val="0"/>
                <w:szCs w:val="21"/>
              </w:rPr>
            </w:pPr>
            <w:r>
              <w:rPr>
                <w:rFonts w:ascii="微软雅黑" w:eastAsia="微软雅黑" w:hAnsi="微软雅黑" w:cs="宋体"/>
                <w:noProof/>
                <w:color w:val="5C5C5C"/>
                <w:kern w:val="0"/>
                <w:szCs w:val="21"/>
              </w:rPr>
              <w:drawing>
                <wp:inline distT="0" distB="0" distL="0" distR="0">
                  <wp:extent cx="6486525" cy="2085975"/>
                  <wp:effectExtent l="19050" t="0" r="9525" b="0"/>
                  <wp:docPr id="8" name="图片 8" descr="http://www.cfachina.org/data/upload/remote/20101210/08403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fachina.org/data/upload/remote/20101210/0840326.JPG"/>
                          <pic:cNvPicPr>
                            <a:picLocks noChangeAspect="1" noChangeArrowheads="1"/>
                          </pic:cNvPicPr>
                        </pic:nvPicPr>
                        <pic:blipFill>
                          <a:blip r:embed="rId17"/>
                          <a:srcRect/>
                          <a:stretch>
                            <a:fillRect/>
                          </a:stretch>
                        </pic:blipFill>
                        <pic:spPr bwMode="auto">
                          <a:xfrm>
                            <a:off x="0" y="0"/>
                            <a:ext cx="6486525" cy="2085975"/>
                          </a:xfrm>
                          <a:prstGeom prst="rect">
                            <a:avLst/>
                          </a:prstGeom>
                          <a:noFill/>
                          <a:ln w="9525">
                            <a:noFill/>
                            <a:miter lim="800000"/>
                            <a:headEnd/>
                            <a:tailEnd/>
                          </a:ln>
                        </pic:spPr>
                      </pic:pic>
                    </a:graphicData>
                  </a:graphic>
                </wp:inline>
              </w:drawing>
            </w:r>
          </w:p>
        </w:tc>
      </w:tr>
    </w:tbl>
    <w:p w:rsidR="001A5462" w:rsidRPr="00096DF3" w:rsidRDefault="001A5462" w:rsidP="005413EE">
      <w:pPr>
        <w:jc w:val="left"/>
      </w:pPr>
    </w:p>
    <w:sectPr w:rsidR="001A5462" w:rsidRPr="00096DF3" w:rsidSect="001A5462">
      <w:footerReference w:type="default" r:id="rId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1138" w:rsidRDefault="00931138" w:rsidP="00096DF3">
      <w:r>
        <w:separator/>
      </w:r>
    </w:p>
  </w:endnote>
  <w:endnote w:type="continuationSeparator" w:id="0">
    <w:p w:rsidR="00931138" w:rsidRDefault="00931138" w:rsidP="00096D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04610"/>
      <w:docPartObj>
        <w:docPartGallery w:val="Page Numbers (Bottom of Page)"/>
        <w:docPartUnique/>
      </w:docPartObj>
    </w:sdtPr>
    <w:sdtContent>
      <w:p w:rsidR="00931138" w:rsidRDefault="005D72FC">
        <w:pPr>
          <w:pStyle w:val="a4"/>
          <w:jc w:val="center"/>
        </w:pPr>
        <w:fldSimple w:instr=" PAGE   \* MERGEFORMAT ">
          <w:r w:rsidR="00554B88" w:rsidRPr="00554B88">
            <w:rPr>
              <w:noProof/>
              <w:lang w:val="zh-CN"/>
            </w:rPr>
            <w:t>23</w:t>
          </w:r>
        </w:fldSimple>
      </w:p>
    </w:sdtContent>
  </w:sdt>
  <w:p w:rsidR="00931138" w:rsidRDefault="0093113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1138" w:rsidRDefault="00931138" w:rsidP="00096DF3">
      <w:r>
        <w:separator/>
      </w:r>
    </w:p>
  </w:footnote>
  <w:footnote w:type="continuationSeparator" w:id="0">
    <w:p w:rsidR="00931138" w:rsidRDefault="00931138" w:rsidP="00096D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96DF3"/>
    <w:rsid w:val="00096DF3"/>
    <w:rsid w:val="00134408"/>
    <w:rsid w:val="001A5462"/>
    <w:rsid w:val="004C5E1B"/>
    <w:rsid w:val="005413EE"/>
    <w:rsid w:val="00554B88"/>
    <w:rsid w:val="005D72FC"/>
    <w:rsid w:val="00931138"/>
    <w:rsid w:val="00B24B76"/>
    <w:rsid w:val="00D67D83"/>
    <w:rsid w:val="00DE16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4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96D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96DF3"/>
    <w:rPr>
      <w:sz w:val="18"/>
      <w:szCs w:val="18"/>
    </w:rPr>
  </w:style>
  <w:style w:type="paragraph" w:styleId="a4">
    <w:name w:val="footer"/>
    <w:basedOn w:val="a"/>
    <w:link w:val="Char0"/>
    <w:uiPriority w:val="99"/>
    <w:unhideWhenUsed/>
    <w:rsid w:val="00096DF3"/>
    <w:pPr>
      <w:tabs>
        <w:tab w:val="center" w:pos="4153"/>
        <w:tab w:val="right" w:pos="8306"/>
      </w:tabs>
      <w:snapToGrid w:val="0"/>
      <w:jc w:val="left"/>
    </w:pPr>
    <w:rPr>
      <w:sz w:val="18"/>
      <w:szCs w:val="18"/>
    </w:rPr>
  </w:style>
  <w:style w:type="character" w:customStyle="1" w:styleId="Char0">
    <w:name w:val="页脚 Char"/>
    <w:basedOn w:val="a0"/>
    <w:link w:val="a4"/>
    <w:uiPriority w:val="99"/>
    <w:rsid w:val="00096DF3"/>
    <w:rPr>
      <w:sz w:val="18"/>
      <w:szCs w:val="18"/>
    </w:rPr>
  </w:style>
  <w:style w:type="character" w:styleId="a5">
    <w:name w:val="Hyperlink"/>
    <w:basedOn w:val="a0"/>
    <w:uiPriority w:val="99"/>
    <w:semiHidden/>
    <w:unhideWhenUsed/>
    <w:rsid w:val="00096DF3"/>
    <w:rPr>
      <w:strike w:val="0"/>
      <w:dstrike w:val="0"/>
      <w:color w:val="000000"/>
      <w:u w:val="none"/>
      <w:effect w:val="none"/>
    </w:rPr>
  </w:style>
  <w:style w:type="character" w:styleId="a6">
    <w:name w:val="Strong"/>
    <w:basedOn w:val="a0"/>
    <w:uiPriority w:val="22"/>
    <w:qFormat/>
    <w:rsid w:val="00096DF3"/>
    <w:rPr>
      <w:b/>
      <w:bCs/>
    </w:rPr>
  </w:style>
  <w:style w:type="paragraph" w:styleId="a7">
    <w:name w:val="Normal (Web)"/>
    <w:basedOn w:val="a"/>
    <w:uiPriority w:val="99"/>
    <w:unhideWhenUsed/>
    <w:rsid w:val="00931138"/>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1"/>
    <w:uiPriority w:val="99"/>
    <w:semiHidden/>
    <w:unhideWhenUsed/>
    <w:rsid w:val="00931138"/>
    <w:rPr>
      <w:sz w:val="18"/>
      <w:szCs w:val="18"/>
    </w:rPr>
  </w:style>
  <w:style w:type="character" w:customStyle="1" w:styleId="Char1">
    <w:name w:val="批注框文本 Char"/>
    <w:basedOn w:val="a0"/>
    <w:link w:val="a8"/>
    <w:uiPriority w:val="99"/>
    <w:semiHidden/>
    <w:rsid w:val="00931138"/>
    <w:rPr>
      <w:sz w:val="18"/>
      <w:szCs w:val="18"/>
    </w:rPr>
  </w:style>
</w:styles>
</file>

<file path=word/webSettings.xml><?xml version="1.0" encoding="utf-8"?>
<w:webSettings xmlns:r="http://schemas.openxmlformats.org/officeDocument/2006/relationships" xmlns:w="http://schemas.openxmlformats.org/wordprocessingml/2006/main">
  <w:divs>
    <w:div w:id="235406631">
      <w:bodyDiv w:val="1"/>
      <w:marLeft w:val="0"/>
      <w:marRight w:val="0"/>
      <w:marTop w:val="0"/>
      <w:marBottom w:val="0"/>
      <w:divBdr>
        <w:top w:val="none" w:sz="0" w:space="0" w:color="auto"/>
        <w:left w:val="none" w:sz="0" w:space="0" w:color="auto"/>
        <w:bottom w:val="none" w:sz="0" w:space="0" w:color="auto"/>
        <w:right w:val="none" w:sz="0" w:space="0" w:color="auto"/>
      </w:divBdr>
      <w:divsChild>
        <w:div w:id="1314602696">
          <w:marLeft w:val="0"/>
          <w:marRight w:val="0"/>
          <w:marTop w:val="0"/>
          <w:marBottom w:val="0"/>
          <w:divBdr>
            <w:top w:val="none" w:sz="0" w:space="0" w:color="auto"/>
            <w:left w:val="none" w:sz="0" w:space="0" w:color="auto"/>
            <w:bottom w:val="none" w:sz="0" w:space="0" w:color="auto"/>
            <w:right w:val="none" w:sz="0" w:space="0" w:color="auto"/>
          </w:divBdr>
          <w:divsChild>
            <w:div w:id="22676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563063">
      <w:bodyDiv w:val="1"/>
      <w:marLeft w:val="0"/>
      <w:marRight w:val="0"/>
      <w:marTop w:val="0"/>
      <w:marBottom w:val="0"/>
      <w:divBdr>
        <w:top w:val="none" w:sz="0" w:space="0" w:color="auto"/>
        <w:left w:val="none" w:sz="0" w:space="0" w:color="auto"/>
        <w:bottom w:val="none" w:sz="0" w:space="0" w:color="auto"/>
        <w:right w:val="none" w:sz="0" w:space="0" w:color="auto"/>
      </w:divBdr>
      <w:divsChild>
        <w:div w:id="1562402858">
          <w:marLeft w:val="45"/>
          <w:marRight w:val="0"/>
          <w:marTop w:val="0"/>
          <w:marBottom w:val="0"/>
          <w:divBdr>
            <w:top w:val="none" w:sz="0" w:space="0" w:color="auto"/>
            <w:left w:val="none" w:sz="0" w:space="0" w:color="auto"/>
            <w:bottom w:val="none" w:sz="0" w:space="0" w:color="auto"/>
            <w:right w:val="none" w:sz="0" w:space="0" w:color="auto"/>
          </w:divBdr>
          <w:divsChild>
            <w:div w:id="277025238">
              <w:marLeft w:val="0"/>
              <w:marRight w:val="0"/>
              <w:marTop w:val="0"/>
              <w:marBottom w:val="0"/>
              <w:divBdr>
                <w:top w:val="none" w:sz="0" w:space="0" w:color="auto"/>
                <w:left w:val="none" w:sz="0" w:space="0" w:color="auto"/>
                <w:bottom w:val="none" w:sz="0" w:space="0" w:color="auto"/>
                <w:right w:val="none" w:sz="0" w:space="0" w:color="auto"/>
              </w:divBdr>
              <w:divsChild>
                <w:div w:id="1185435200">
                  <w:marLeft w:val="0"/>
                  <w:marRight w:val="0"/>
                  <w:marTop w:val="150"/>
                  <w:marBottom w:val="0"/>
                  <w:divBdr>
                    <w:top w:val="none" w:sz="0" w:space="0" w:color="auto"/>
                    <w:left w:val="none" w:sz="0" w:space="0" w:color="auto"/>
                    <w:bottom w:val="none" w:sz="0" w:space="0" w:color="auto"/>
                    <w:right w:val="none" w:sz="0" w:space="0" w:color="auto"/>
                  </w:divBdr>
                  <w:divsChild>
                    <w:div w:id="1057822236">
                      <w:marLeft w:val="0"/>
                      <w:marRight w:val="0"/>
                      <w:marTop w:val="0"/>
                      <w:marBottom w:val="0"/>
                      <w:divBdr>
                        <w:top w:val="none" w:sz="0" w:space="0" w:color="auto"/>
                        <w:left w:val="none" w:sz="0" w:space="0" w:color="auto"/>
                        <w:bottom w:val="none" w:sz="0" w:space="0" w:color="auto"/>
                        <w:right w:val="none" w:sz="0" w:space="0" w:color="auto"/>
                      </w:divBdr>
                      <w:divsChild>
                        <w:div w:id="1341392488">
                          <w:marLeft w:val="0"/>
                          <w:marRight w:val="0"/>
                          <w:marTop w:val="0"/>
                          <w:marBottom w:val="0"/>
                          <w:divBdr>
                            <w:top w:val="none" w:sz="0" w:space="0" w:color="auto"/>
                            <w:left w:val="none" w:sz="0" w:space="0" w:color="auto"/>
                            <w:bottom w:val="none" w:sz="0" w:space="0" w:color="auto"/>
                            <w:right w:val="none" w:sz="0" w:space="0" w:color="auto"/>
                          </w:divBdr>
                          <w:divsChild>
                            <w:div w:id="1949389692">
                              <w:marLeft w:val="0"/>
                              <w:marRight w:val="0"/>
                              <w:marTop w:val="0"/>
                              <w:marBottom w:val="0"/>
                              <w:divBdr>
                                <w:top w:val="none" w:sz="0" w:space="0" w:color="auto"/>
                                <w:left w:val="none" w:sz="0" w:space="0" w:color="auto"/>
                                <w:bottom w:val="dotted" w:sz="6" w:space="8" w:color="CCCCCC"/>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yafco.com/comment/?keyid=phpcms-content-title-1871&amp;verify=176606869e903646d47d82015c0bb122" TargetMode="Externa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control" Target="activeX/activeX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6.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13663-3244-485D-99B1-3328E7537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23</Pages>
  <Words>5765</Words>
  <Characters>6169</Characters>
  <Application>Microsoft Office Word</Application>
  <DocSecurity>0</DocSecurity>
  <Lines>257</Lines>
  <Paragraphs>183</Paragraphs>
  <ScaleCrop>false</ScaleCrop>
  <Company>微软中国</Company>
  <LinksUpToDate>false</LinksUpToDate>
  <CharactersWithSpaces>11751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5</cp:revision>
  <dcterms:created xsi:type="dcterms:W3CDTF">2010-12-16T07:04:00Z</dcterms:created>
  <dcterms:modified xsi:type="dcterms:W3CDTF">2011-03-09T08:14:00Z</dcterms:modified>
</cp:coreProperties>
</file>